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67" w:rsidRPr="00E314EC" w:rsidRDefault="001F5367" w:rsidP="003027F0">
      <w:pPr>
        <w:tabs>
          <w:tab w:val="left" w:pos="284"/>
          <w:tab w:val="left" w:pos="1985"/>
        </w:tabs>
        <w:ind w:firstLine="567"/>
        <w:jc w:val="center"/>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3027F0" w:rsidRPr="00E314EC" w:rsidRDefault="003027F0" w:rsidP="003027F0">
      <w:pPr>
        <w:tabs>
          <w:tab w:val="left" w:pos="284"/>
          <w:tab w:val="left" w:pos="1985"/>
        </w:tabs>
        <w:ind w:firstLine="567"/>
        <w:jc w:val="center"/>
        <w:outlineLvl w:val="0"/>
        <w:rPr>
          <w:b/>
          <w:color w:val="000000"/>
          <w:sz w:val="24"/>
          <w:szCs w:val="24"/>
          <w:lang w:val="sr-Latn-CS"/>
        </w:rPr>
      </w:pPr>
    </w:p>
    <w:p w:rsidR="00B807D6" w:rsidRPr="00E314EC" w:rsidRDefault="00011E2F" w:rsidP="00011E2F">
      <w:pPr>
        <w:tabs>
          <w:tab w:val="left" w:pos="284"/>
          <w:tab w:val="left" w:pos="1985"/>
        </w:tabs>
        <w:ind w:firstLine="567"/>
        <w:jc w:val="center"/>
        <w:outlineLvl w:val="0"/>
        <w:rPr>
          <w:color w:val="000000"/>
        </w:rPr>
      </w:pPr>
      <w:r w:rsidRPr="00E314EC">
        <w:rPr>
          <w:b/>
          <w:color w:val="000000"/>
          <w:sz w:val="24"/>
          <w:szCs w:val="24"/>
          <w:lang w:val="sr-Latn-CS"/>
        </w:rPr>
        <w:t>OPTIMALAN BROJ ELEKTRIČNIH AUTOMOBILA U ELEKTRODISTRIBUTIVNOJ KOMPANIJI</w:t>
      </w:r>
    </w:p>
    <w:p w:rsidR="00DD6863" w:rsidRPr="00E314EC" w:rsidRDefault="00DD6863" w:rsidP="003027F0">
      <w:pPr>
        <w:tabs>
          <w:tab w:val="left" w:pos="284"/>
          <w:tab w:val="left" w:pos="1985"/>
        </w:tabs>
        <w:ind w:firstLine="567"/>
        <w:jc w:val="center"/>
        <w:rPr>
          <w:color w:val="000000"/>
        </w:rPr>
      </w:pPr>
    </w:p>
    <w:p w:rsidR="00DD6863" w:rsidRPr="00E314EC" w:rsidRDefault="00DD6863" w:rsidP="003027F0">
      <w:pPr>
        <w:tabs>
          <w:tab w:val="left" w:pos="284"/>
          <w:tab w:val="left" w:pos="1985"/>
        </w:tabs>
        <w:ind w:firstLine="567"/>
        <w:jc w:val="center"/>
        <w:outlineLvl w:val="0"/>
        <w:rPr>
          <w:color w:val="000000"/>
        </w:rPr>
      </w:pPr>
      <w:r w:rsidRPr="00E314EC">
        <w:rPr>
          <w:color w:val="000000"/>
        </w:rPr>
        <w:t>A</w:t>
      </w:r>
      <w:r w:rsidR="00E53C05" w:rsidRPr="00E314EC">
        <w:rPr>
          <w:color w:val="000000"/>
        </w:rPr>
        <w:t>.</w:t>
      </w:r>
      <w:r w:rsidRPr="00E314EC">
        <w:rPr>
          <w:color w:val="000000"/>
        </w:rPr>
        <w:t xml:space="preserve"> Janjić, </w:t>
      </w:r>
      <w:r w:rsidR="004C3439" w:rsidRPr="00E314EC">
        <w:rPr>
          <w:color w:val="000000"/>
        </w:rPr>
        <w:t xml:space="preserve">Univerzitet u Nišu, </w:t>
      </w:r>
      <w:r w:rsidRPr="00E314EC">
        <w:rPr>
          <w:color w:val="000000"/>
        </w:rPr>
        <w:t>Elektronski fakultet</w:t>
      </w:r>
      <w:r w:rsidR="004C3439" w:rsidRPr="00E314EC">
        <w:rPr>
          <w:color w:val="000000"/>
        </w:rPr>
        <w:t>,</w:t>
      </w:r>
      <w:r w:rsidRPr="00E314EC">
        <w:rPr>
          <w:color w:val="000000"/>
        </w:rPr>
        <w:t xml:space="preserve"> Srbija</w:t>
      </w:r>
    </w:p>
    <w:p w:rsidR="005F695F" w:rsidRPr="00E314EC" w:rsidRDefault="005F695F" w:rsidP="003027F0">
      <w:pPr>
        <w:tabs>
          <w:tab w:val="left" w:pos="284"/>
          <w:tab w:val="left" w:pos="1985"/>
        </w:tabs>
        <w:ind w:firstLine="567"/>
        <w:jc w:val="center"/>
        <w:outlineLvl w:val="0"/>
        <w:rPr>
          <w:color w:val="000000"/>
        </w:rPr>
      </w:pPr>
    </w:p>
    <w:p w:rsidR="00B807D6" w:rsidRPr="00E314EC" w:rsidRDefault="00B807D6" w:rsidP="003027F0">
      <w:pPr>
        <w:tabs>
          <w:tab w:val="left" w:pos="284"/>
          <w:tab w:val="left" w:pos="1985"/>
        </w:tabs>
        <w:ind w:firstLine="567"/>
        <w:jc w:val="both"/>
        <w:rPr>
          <w:color w:val="000000"/>
        </w:rPr>
      </w:pPr>
    </w:p>
    <w:p w:rsidR="001F5367" w:rsidRPr="00E314EC" w:rsidRDefault="001F5367" w:rsidP="003027F0">
      <w:pPr>
        <w:tabs>
          <w:tab w:val="left" w:pos="284"/>
          <w:tab w:val="left" w:pos="1985"/>
        </w:tabs>
        <w:ind w:firstLine="567"/>
        <w:jc w:val="both"/>
        <w:rPr>
          <w:b/>
          <w:color w:val="000000"/>
        </w:rPr>
      </w:pPr>
    </w:p>
    <w:p w:rsidR="00413C71" w:rsidRPr="00E314EC" w:rsidRDefault="00413C71" w:rsidP="003027F0">
      <w:pPr>
        <w:tabs>
          <w:tab w:val="left" w:pos="284"/>
          <w:tab w:val="left" w:pos="1985"/>
        </w:tabs>
        <w:ind w:firstLine="567"/>
        <w:jc w:val="both"/>
        <w:rPr>
          <w:b/>
          <w:color w:val="000000"/>
        </w:rPr>
      </w:pPr>
    </w:p>
    <w:p w:rsidR="00DD6863" w:rsidRPr="00E314EC" w:rsidRDefault="00DD6863" w:rsidP="000C3D77">
      <w:pPr>
        <w:tabs>
          <w:tab w:val="left" w:pos="284"/>
          <w:tab w:val="left" w:pos="1985"/>
        </w:tabs>
        <w:jc w:val="both"/>
        <w:outlineLvl w:val="0"/>
        <w:rPr>
          <w:b/>
          <w:color w:val="000000"/>
        </w:rPr>
      </w:pPr>
      <w:r w:rsidRPr="00E314EC">
        <w:rPr>
          <w:b/>
          <w:color w:val="000000"/>
        </w:rPr>
        <w:t>KRATAK SADRŽAJ</w:t>
      </w:r>
    </w:p>
    <w:p w:rsidR="00DD6863" w:rsidRPr="00E314EC" w:rsidRDefault="00DD6863" w:rsidP="003027F0">
      <w:pPr>
        <w:tabs>
          <w:tab w:val="left" w:pos="284"/>
          <w:tab w:val="left" w:pos="1985"/>
        </w:tabs>
        <w:ind w:firstLine="567"/>
        <w:jc w:val="both"/>
        <w:rPr>
          <w:color w:val="000000"/>
        </w:rPr>
      </w:pPr>
    </w:p>
    <w:p w:rsidR="001F5367" w:rsidRPr="00E314EC" w:rsidRDefault="00011E2F" w:rsidP="003027F0">
      <w:pPr>
        <w:jc w:val="both"/>
      </w:pPr>
      <w:r w:rsidRPr="00E314EC">
        <w:t xml:space="preserve">U ovom radu, određen je optimalni sastav voznog parka preduzeća za distribuciju električne energije, sastavljen </w:t>
      </w:r>
      <w:proofErr w:type="gramStart"/>
      <w:r w:rsidRPr="00E314EC">
        <w:t>od</w:t>
      </w:r>
      <w:proofErr w:type="gramEnd"/>
      <w:r w:rsidRPr="00E314EC">
        <w:t xml:space="preserve"> električnih i klasičnih automobila. Optimizacija se vrši </w:t>
      </w:r>
      <w:proofErr w:type="gramStart"/>
      <w:r w:rsidRPr="00E314EC">
        <w:t>na</w:t>
      </w:r>
      <w:proofErr w:type="gramEnd"/>
      <w:r w:rsidRPr="00E314EC">
        <w:t xml:space="preserve"> osnovu višekriterijumske analize i OWA ​​operatora. </w:t>
      </w:r>
      <w:proofErr w:type="gramStart"/>
      <w:r w:rsidRPr="00E314EC">
        <w:t>Kriterijumi za pravilan izbor vozila obuhvataju kvalitet usluga, emisiju CO</w:t>
      </w:r>
      <w:r w:rsidRPr="00E314EC">
        <w:rPr>
          <w:vertAlign w:val="subscript"/>
        </w:rPr>
        <w:t>2</w:t>
      </w:r>
      <w:r w:rsidRPr="00E314EC">
        <w:t>, ukupne troškove voznog parka i mogućnosti za skladištenje električne</w:t>
      </w:r>
      <w:r w:rsidR="00E314EC">
        <w:t xml:space="preserve"> </w:t>
      </w:r>
      <w:r w:rsidRPr="00E314EC">
        <w:t>energije.</w:t>
      </w:r>
      <w:proofErr w:type="gramEnd"/>
      <w:r w:rsidR="00E314EC">
        <w:t xml:space="preserve"> </w:t>
      </w:r>
      <w:r w:rsidRPr="00E314EC">
        <w:t xml:space="preserve">Metodologija je ilustrovana </w:t>
      </w:r>
      <w:proofErr w:type="gramStart"/>
      <w:r w:rsidRPr="00E314EC">
        <w:t>na</w:t>
      </w:r>
      <w:proofErr w:type="gramEnd"/>
      <w:r w:rsidRPr="00E314EC">
        <w:t xml:space="preserve"> utvrđivanju voznog parka distributivne kompanije srednje veličine sa 50 000 potrošača</w:t>
      </w:r>
      <w:r w:rsidR="0064646C" w:rsidRPr="00E314EC">
        <w:t>.</w:t>
      </w:r>
    </w:p>
    <w:p w:rsidR="001F5367" w:rsidRPr="00E314EC" w:rsidRDefault="001F5367" w:rsidP="003027F0">
      <w:pPr>
        <w:ind w:firstLine="567"/>
        <w:jc w:val="both"/>
      </w:pPr>
    </w:p>
    <w:p w:rsidR="00DD6863" w:rsidRPr="00E314EC" w:rsidRDefault="00DD6863" w:rsidP="000C3D77">
      <w:pPr>
        <w:jc w:val="both"/>
        <w:outlineLvl w:val="0"/>
      </w:pPr>
      <w:r w:rsidRPr="00E314EC">
        <w:rPr>
          <w:b/>
        </w:rPr>
        <w:t>Ključne reči</w:t>
      </w:r>
      <w:r w:rsidRPr="00E314EC">
        <w:t xml:space="preserve">: </w:t>
      </w:r>
      <w:r w:rsidR="00011E2F" w:rsidRPr="00E314EC">
        <w:t xml:space="preserve">Vozni </w:t>
      </w:r>
      <w:proofErr w:type="gramStart"/>
      <w:r w:rsidR="00011E2F" w:rsidRPr="00E314EC">
        <w:t>park</w:t>
      </w:r>
      <w:proofErr w:type="gramEnd"/>
      <w:r w:rsidR="00011E2F" w:rsidRPr="00E314EC">
        <w:t>, električni automobil, OWA, masovno opsluživanje</w:t>
      </w:r>
    </w:p>
    <w:p w:rsidR="00011E2F" w:rsidRPr="00E314EC" w:rsidRDefault="00011E2F" w:rsidP="000C3D77">
      <w:pPr>
        <w:jc w:val="both"/>
        <w:outlineLvl w:val="0"/>
      </w:pPr>
    </w:p>
    <w:p w:rsidR="00F824CC" w:rsidRPr="00E314EC" w:rsidRDefault="00F824CC" w:rsidP="00F824CC">
      <w:pPr>
        <w:rPr>
          <w:b/>
        </w:rPr>
      </w:pPr>
    </w:p>
    <w:p w:rsidR="00F824CC" w:rsidRPr="00E314EC" w:rsidRDefault="00F824CC" w:rsidP="00F824CC">
      <w:pPr>
        <w:rPr>
          <w:b/>
        </w:rPr>
      </w:pPr>
    </w:p>
    <w:p w:rsidR="00F824CC" w:rsidRPr="00E314EC" w:rsidRDefault="00F824CC" w:rsidP="00F824CC">
      <w:pPr>
        <w:rPr>
          <w:b/>
        </w:rPr>
      </w:pPr>
      <w:r w:rsidRPr="00E314EC">
        <w:rPr>
          <w:b/>
        </w:rPr>
        <w:t>SUMMARY</w:t>
      </w:r>
    </w:p>
    <w:p w:rsidR="00DF23BB" w:rsidRPr="00E314EC" w:rsidRDefault="00DF23BB" w:rsidP="00F824CC">
      <w:pPr>
        <w:jc w:val="both"/>
        <w:rPr>
          <w:b/>
        </w:rPr>
      </w:pPr>
    </w:p>
    <w:p w:rsidR="00F824CC" w:rsidRPr="00E314EC" w:rsidRDefault="00011E2F" w:rsidP="00F824CC">
      <w:pPr>
        <w:jc w:val="both"/>
      </w:pPr>
      <w:r w:rsidRPr="00E314EC">
        <w:t>In this paper, the optimal vehicle fleet mix composed of both electric and gasoline powered cars for the electricity distribution company has been determined. The optimization is performed based on multi-criteria analysis and OWA operators. The criteria for the proper choice of vehicles encompass the service quality, CO</w:t>
      </w:r>
      <w:r w:rsidRPr="00E314EC">
        <w:rPr>
          <w:vertAlign w:val="subscript"/>
        </w:rPr>
        <w:t>2</w:t>
      </w:r>
      <w:r w:rsidRPr="00E314EC">
        <w:t xml:space="preserve"> emission, the overall fleet costs and the possibility to use storage capabilities of electric vehicles. The methodology is illustrated on the vehicle fleet determination for the medium size distribution company with 50 000 consumers</w:t>
      </w:r>
    </w:p>
    <w:p w:rsidR="00011E2F" w:rsidRPr="00E314EC" w:rsidRDefault="00011E2F" w:rsidP="00F824CC">
      <w:pPr>
        <w:jc w:val="both"/>
      </w:pPr>
    </w:p>
    <w:p w:rsidR="00F824CC" w:rsidRPr="00E314EC" w:rsidRDefault="00F824CC" w:rsidP="00011E2F">
      <w:pPr>
        <w:jc w:val="both"/>
      </w:pPr>
      <w:r w:rsidRPr="00E314EC">
        <w:rPr>
          <w:b/>
        </w:rPr>
        <w:t>Key words:</w:t>
      </w:r>
      <w:r w:rsidRPr="00E314EC">
        <w:t xml:space="preserve"> </w:t>
      </w:r>
      <w:r w:rsidR="00011E2F" w:rsidRPr="00E314EC">
        <w:t>Fleet mix, Electric car, OWA, Queuing theory</w:t>
      </w:r>
    </w:p>
    <w:p w:rsidR="005F695F" w:rsidRPr="00E314EC" w:rsidRDefault="005F695F" w:rsidP="000C3D77">
      <w:pPr>
        <w:jc w:val="both"/>
        <w:outlineLvl w:val="0"/>
      </w:pPr>
    </w:p>
    <w:p w:rsidR="005F695F" w:rsidRPr="00E314EC" w:rsidRDefault="005F695F" w:rsidP="000C3D77">
      <w:pPr>
        <w:jc w:val="both"/>
        <w:outlineLvl w:val="0"/>
      </w:pPr>
    </w:p>
    <w:p w:rsidR="00DD6863" w:rsidRPr="00E314EC" w:rsidRDefault="00440389" w:rsidP="00E314EC">
      <w:pPr>
        <w:pStyle w:val="ListParagraph"/>
        <w:numPr>
          <w:ilvl w:val="0"/>
          <w:numId w:val="38"/>
        </w:numPr>
        <w:tabs>
          <w:tab w:val="left" w:pos="284"/>
          <w:tab w:val="left" w:pos="1985"/>
        </w:tabs>
        <w:jc w:val="both"/>
        <w:outlineLvl w:val="0"/>
        <w:rPr>
          <w:b/>
          <w:color w:val="000000"/>
        </w:rPr>
      </w:pPr>
      <w:r w:rsidRPr="00E314EC">
        <w:rPr>
          <w:b/>
          <w:color w:val="000000"/>
        </w:rPr>
        <w:t>UVOD</w:t>
      </w:r>
    </w:p>
    <w:p w:rsidR="00440389" w:rsidRPr="00E314EC" w:rsidRDefault="00440389" w:rsidP="003027F0">
      <w:pPr>
        <w:tabs>
          <w:tab w:val="left" w:pos="284"/>
          <w:tab w:val="left" w:pos="1985"/>
        </w:tabs>
        <w:ind w:firstLine="567"/>
        <w:jc w:val="both"/>
        <w:rPr>
          <w:b/>
          <w:color w:val="000000"/>
        </w:rPr>
      </w:pPr>
    </w:p>
    <w:p w:rsidR="00011E2F" w:rsidRPr="00E314EC" w:rsidRDefault="00011E2F" w:rsidP="00011E2F">
      <w:pPr>
        <w:ind w:firstLine="720"/>
        <w:jc w:val="both"/>
      </w:pPr>
      <w:r w:rsidRPr="00E314EC">
        <w:t xml:space="preserve">Za jedno preduzeće za distribuciju električne energije, određivanje pravog broja i sastava vozila (uz pravilan izbor telekomunikacionog sistema) predstavlja ključni element infrastrukture, koji omogućava efikasno održavanje distributivne mreže, brz odgovor </w:t>
      </w:r>
      <w:proofErr w:type="gramStart"/>
      <w:r w:rsidRPr="00E314EC">
        <w:t>na</w:t>
      </w:r>
      <w:proofErr w:type="gramEnd"/>
      <w:r w:rsidRPr="00E314EC">
        <w:t xml:space="preserve"> kvar i ispunjenje ostalih zadataka, kako u tehničkom, tako i u ekonomskom pogledu. S druge strane, sve veća briga u pogledu zaštite životne sredine, kao </w:t>
      </w:r>
      <w:r w:rsidR="006F17AE" w:rsidRPr="00E314EC">
        <w:t xml:space="preserve">i </w:t>
      </w:r>
      <w:r w:rsidRPr="00E314EC">
        <w:t xml:space="preserve">troškova proizvodnje fosilnih goriva, usmerila je pažnju </w:t>
      </w:r>
      <w:proofErr w:type="gramStart"/>
      <w:r w:rsidRPr="00E314EC">
        <w:t>na</w:t>
      </w:r>
      <w:proofErr w:type="gramEnd"/>
      <w:r w:rsidRPr="00E314EC">
        <w:t xml:space="preserve"> potrebu smanjivanja potrošnje energije i prelazak na čistije izvore energije. Zbog činjenice da se tehnologija vozila vrlo brzo brzo razvija, tržište automobila se u skladu </w:t>
      </w:r>
      <w:proofErr w:type="gramStart"/>
      <w:r w:rsidRPr="00E314EC">
        <w:t>sa</w:t>
      </w:r>
      <w:proofErr w:type="gramEnd"/>
      <w:r w:rsidRPr="00E314EC">
        <w:t xml:space="preserve"> tim menja, pa se sve više pažnje posvećuje I različitim klasama električnih vozila (1</w:t>
      </w:r>
      <w:r w:rsidR="006F17AE" w:rsidRPr="00E314EC">
        <w:t>, 2</w:t>
      </w:r>
      <w:r w:rsidRPr="00E314EC">
        <w:t xml:space="preserve">). Štaviše, upotreba ovih </w:t>
      </w:r>
      <w:r w:rsidRPr="00E314EC">
        <w:lastRenderedPageBreak/>
        <w:t xml:space="preserve">vozila ne samo da povećava energetsku efikasnost i smanjuje emisiju štetnih gasova, već može da vrši I izravnavanje vršnog opterećenja i samim </w:t>
      </w:r>
      <w:proofErr w:type="gramStart"/>
      <w:r w:rsidRPr="00E314EC">
        <w:t>tim</w:t>
      </w:r>
      <w:proofErr w:type="gramEnd"/>
      <w:r w:rsidRPr="00E314EC">
        <w:t xml:space="preserve"> poboljšava bezbednost i ekonomičnost elektroenergetskog sistema.</w:t>
      </w:r>
    </w:p>
    <w:p w:rsidR="00011E2F" w:rsidRPr="00E314EC" w:rsidRDefault="00011E2F" w:rsidP="00011E2F">
      <w:pPr>
        <w:jc w:val="both"/>
      </w:pPr>
    </w:p>
    <w:p w:rsidR="00011E2F" w:rsidRPr="00E314EC" w:rsidRDefault="00011E2F" w:rsidP="00011E2F">
      <w:pPr>
        <w:ind w:firstLine="204"/>
        <w:jc w:val="both"/>
      </w:pPr>
      <w:r w:rsidRPr="00E314EC">
        <w:t xml:space="preserve">Donosioci odluka su zbog toga suočeni </w:t>
      </w:r>
      <w:proofErr w:type="gramStart"/>
      <w:r w:rsidRPr="00E314EC">
        <w:t>sa</w:t>
      </w:r>
      <w:proofErr w:type="gramEnd"/>
      <w:r w:rsidRPr="00E314EC">
        <w:t xml:space="preserve"> složenim kompromisima koji uključuju ekonomske, ekološke i regulatorne zahteve. Distributivne kompanije su primorane da usvoje sveobuhvatne pristupe planiranja koji nastoje da smanje troškove poslovanja, održe nivo usluga prema kupcima, i kad god je to moguće, nastave </w:t>
      </w:r>
      <w:proofErr w:type="gramStart"/>
      <w:r w:rsidRPr="00E314EC">
        <w:t>sa</w:t>
      </w:r>
      <w:proofErr w:type="gramEnd"/>
      <w:r w:rsidRPr="00E314EC">
        <w:t xml:space="preserve"> održivom praksom smanjivanja emisije gasova staklene bašte koristeći različite vrste električnih vozila. Iako planiranje optimalnog miksa voznog parka predstavlja važnu komponentu ukupne strategije upravljanja osnovnim sredstvima distribucije, višekriterijumska analiza upotrebe električnih vozila je dosad uglavnom svedena </w:t>
      </w:r>
      <w:proofErr w:type="gramStart"/>
      <w:r w:rsidRPr="00E314EC">
        <w:t>na</w:t>
      </w:r>
      <w:proofErr w:type="gramEnd"/>
      <w:r w:rsidRPr="00E314EC">
        <w:t xml:space="preserve"> problem njihovog uticaja na distributivnu mrežu. U (3), predložen je pristup upravljanja opterećenjem koji koordiniše više punjača električnih vozila u distributvnoj mreži, </w:t>
      </w:r>
      <w:proofErr w:type="gramStart"/>
      <w:r w:rsidRPr="00E314EC">
        <w:t>sa</w:t>
      </w:r>
      <w:proofErr w:type="gramEnd"/>
      <w:r w:rsidRPr="00E314EC">
        <w:t xml:space="preserve"> ciljem da se izravna vršno opterećenje, poboljšaju naponske prilike I minimizuju gubici električne energije. </w:t>
      </w:r>
      <w:proofErr w:type="gramStart"/>
      <w:r w:rsidRPr="00E314EC">
        <w:t xml:space="preserve">Višekriterijumska analiza </w:t>
      </w:r>
      <w:r w:rsidR="006F17AE" w:rsidRPr="00E314EC">
        <w:t>i</w:t>
      </w:r>
      <w:r w:rsidRPr="00E314EC">
        <w:t xml:space="preserve"> AHP metoda su korišćeni u (4) za određivanje lokacija stanica za punjenje vozila.</w:t>
      </w:r>
      <w:proofErr w:type="gramEnd"/>
      <w:r w:rsidRPr="00E314EC">
        <w:t xml:space="preserve"> </w:t>
      </w:r>
    </w:p>
    <w:p w:rsidR="006F17AE" w:rsidRPr="00E314EC" w:rsidRDefault="006F17AE" w:rsidP="006F17AE">
      <w:pPr>
        <w:ind w:firstLine="204"/>
        <w:jc w:val="both"/>
      </w:pPr>
    </w:p>
    <w:p w:rsidR="006F17AE" w:rsidRPr="00E314EC" w:rsidRDefault="006F17AE" w:rsidP="006F17AE">
      <w:pPr>
        <w:ind w:firstLine="204"/>
        <w:jc w:val="both"/>
      </w:pPr>
      <w:r w:rsidRPr="00E314EC">
        <w:t xml:space="preserve">U ovom radu predložena je nova, praktična metodologija višekriterijumskog odlučivanja za određivanje sastava voznog parka sastavljenog </w:t>
      </w:r>
      <w:proofErr w:type="gramStart"/>
      <w:r w:rsidRPr="00E314EC">
        <w:t>od</w:t>
      </w:r>
      <w:proofErr w:type="gramEnd"/>
      <w:r w:rsidRPr="00E314EC">
        <w:t xml:space="preserve"> konvencionalnih i električnih vozila, na osnovu dvostepenog algoritma. </w:t>
      </w:r>
      <w:proofErr w:type="gramStart"/>
      <w:r w:rsidRPr="00E314EC">
        <w:t>U prvom stepenu, koristeći teoriju masovnog opsluživanja, predložen je ukupan preporučeni broj vozila.</w:t>
      </w:r>
      <w:proofErr w:type="gramEnd"/>
      <w:r w:rsidRPr="00E314EC">
        <w:t xml:space="preserve"> </w:t>
      </w:r>
      <w:proofErr w:type="gramStart"/>
      <w:r w:rsidRPr="00E314EC">
        <w:t>U drugom koraku, upotrebljeni su OWA operatori, koji uvažavaju stepen tolerancije prema riziku donosioca odluke, za određivanje izbor optimalne kombinacije konvencionalnih i električnih vozila.</w:t>
      </w:r>
      <w:proofErr w:type="gramEnd"/>
      <w:r w:rsidRPr="00E314EC">
        <w:t xml:space="preserve"> Rad je organizovan </w:t>
      </w:r>
      <w:proofErr w:type="gramStart"/>
      <w:r w:rsidRPr="00E314EC">
        <w:t>na</w:t>
      </w:r>
      <w:proofErr w:type="gramEnd"/>
      <w:r w:rsidRPr="00E314EC">
        <w:t xml:space="preserve"> sledeći način. Nakon uvoda, detalji o parametrima modela, zajedno </w:t>
      </w:r>
      <w:proofErr w:type="gramStart"/>
      <w:r w:rsidRPr="00E314EC">
        <w:t>sa</w:t>
      </w:r>
      <w:proofErr w:type="gramEnd"/>
      <w:r w:rsidRPr="00E314EC">
        <w:t xml:space="preserve"> višekriterijumskom tehnikom fazi odlučivanja objašnjeni su u drugom delu. Radi ilustracije, model je primenjen </w:t>
      </w:r>
      <w:proofErr w:type="gramStart"/>
      <w:r w:rsidRPr="00E314EC">
        <w:t>na</w:t>
      </w:r>
      <w:proofErr w:type="gramEnd"/>
      <w:r w:rsidRPr="00E314EC">
        <w:t xml:space="preserve"> problem određivanja sastava voznog parka za srednje kompanije za distribuciju sa 50 000 potrošača. </w:t>
      </w:r>
      <w:proofErr w:type="gramStart"/>
      <w:r w:rsidRPr="00E314EC">
        <w:t>Konačno ,</w:t>
      </w:r>
      <w:proofErr w:type="gramEnd"/>
      <w:r w:rsidRPr="00E314EC">
        <w:t xml:space="preserve"> doneti su i zaključci o mogućnostima primena modela i daljim pravcima istraživanja.</w:t>
      </w:r>
    </w:p>
    <w:p w:rsidR="006F17AE" w:rsidRPr="00E314EC" w:rsidRDefault="006F17AE" w:rsidP="006F17AE">
      <w:pPr>
        <w:ind w:firstLine="204"/>
        <w:jc w:val="both"/>
      </w:pPr>
    </w:p>
    <w:p w:rsidR="006F17AE" w:rsidRPr="00E314EC" w:rsidRDefault="006F17AE" w:rsidP="006F17AE"/>
    <w:p w:rsidR="006F17AE" w:rsidRPr="00E314EC" w:rsidRDefault="008E2BA9" w:rsidP="00E314EC">
      <w:pPr>
        <w:pStyle w:val="ListParagraph"/>
        <w:numPr>
          <w:ilvl w:val="0"/>
          <w:numId w:val="38"/>
        </w:numPr>
        <w:rPr>
          <w:b/>
        </w:rPr>
      </w:pPr>
      <w:r w:rsidRPr="00E314EC">
        <w:rPr>
          <w:b/>
        </w:rPr>
        <w:t xml:space="preserve">UTICAJ BROJA VOZILA NA </w:t>
      </w:r>
      <w:r w:rsidR="006F17AE" w:rsidRPr="00E314EC">
        <w:rPr>
          <w:b/>
        </w:rPr>
        <w:t>KVALITET USLUGA</w:t>
      </w:r>
    </w:p>
    <w:p w:rsidR="006F17AE" w:rsidRPr="00E314EC" w:rsidRDefault="006F17AE" w:rsidP="006F17AE"/>
    <w:p w:rsidR="006F17AE" w:rsidRPr="00E314EC" w:rsidRDefault="006F17AE" w:rsidP="008E2BA9">
      <w:pPr>
        <w:ind w:firstLine="720"/>
        <w:jc w:val="both"/>
      </w:pPr>
      <w:r w:rsidRPr="00E314EC">
        <w:t>U liberalizovanom tržištu električne energije, komercijalni kvalitet je ključno pitanje, direktno povezan</w:t>
      </w:r>
      <w:r w:rsidR="008E2BA9" w:rsidRPr="00E314EC">
        <w:t>o</w:t>
      </w:r>
      <w:r w:rsidRPr="00E314EC">
        <w:t xml:space="preserve"> </w:t>
      </w:r>
      <w:proofErr w:type="gramStart"/>
      <w:r w:rsidRPr="00E314EC">
        <w:t>sa</w:t>
      </w:r>
      <w:proofErr w:type="gramEnd"/>
      <w:r w:rsidRPr="00E314EC">
        <w:t xml:space="preserve"> transakcijama između elektroprivred</w:t>
      </w:r>
      <w:r w:rsidR="008E2BA9" w:rsidRPr="00E314EC">
        <w:t>nog preduzeća</w:t>
      </w:r>
      <w:r w:rsidRPr="00E314EC">
        <w:t xml:space="preserve"> (bilo O</w:t>
      </w:r>
      <w:r w:rsidR="008E2BA9" w:rsidRPr="00E314EC">
        <w:t>DS-a</w:t>
      </w:r>
      <w:r w:rsidRPr="00E314EC">
        <w:t xml:space="preserve"> ili dobavljača, ili oba) i kupaca, i obuhvata ne samo snabdevanje i prodaju električne energije, </w:t>
      </w:r>
      <w:r w:rsidR="008E2BA9" w:rsidRPr="00E314EC">
        <w:t>već</w:t>
      </w:r>
      <w:r w:rsidRPr="00E314EC">
        <w:t xml:space="preserve"> i različite oblike kontakata uspostavljen</w:t>
      </w:r>
      <w:r w:rsidR="008E2BA9" w:rsidRPr="00E314EC">
        <w:t>ih</w:t>
      </w:r>
      <w:r w:rsidRPr="00E314EC">
        <w:t xml:space="preserve"> između elektroprivrede i kupaca. Postoji nekoliko </w:t>
      </w:r>
      <w:r w:rsidR="008E2BA9" w:rsidRPr="00E314EC">
        <w:t xml:space="preserve">tipova </w:t>
      </w:r>
      <w:r w:rsidRPr="00E314EC">
        <w:t>uslug</w:t>
      </w:r>
      <w:r w:rsidR="008E2BA9" w:rsidRPr="00E314EC">
        <w:t>a</w:t>
      </w:r>
      <w:r w:rsidRPr="00E314EC">
        <w:t xml:space="preserve"> koje mogu biti zahtevane </w:t>
      </w:r>
      <w:proofErr w:type="gramStart"/>
      <w:r w:rsidRPr="00E314EC">
        <w:t>ili</w:t>
      </w:r>
      <w:proofErr w:type="gramEnd"/>
      <w:r w:rsidRPr="00E314EC">
        <w:t xml:space="preserve"> očekivane od strane kupaca, kao što su nov</w:t>
      </w:r>
      <w:r w:rsidR="008E2BA9" w:rsidRPr="00E314EC">
        <w:t>i priključci</w:t>
      </w:r>
      <w:r w:rsidRPr="00E314EC">
        <w:t xml:space="preserve">, povećanje kapaciteta, isključenja kupca </w:t>
      </w:r>
      <w:r w:rsidR="008E2BA9" w:rsidRPr="00E314EC">
        <w:t xml:space="preserve">na </w:t>
      </w:r>
      <w:r w:rsidRPr="00E314EC">
        <w:t xml:space="preserve">zahtev, očitavanje brojila i verifikacije, popravke i otklanjanje problema </w:t>
      </w:r>
      <w:r w:rsidR="008E2BA9" w:rsidRPr="00E314EC">
        <w:t xml:space="preserve">sa </w:t>
      </w:r>
      <w:r w:rsidRPr="00E314EC">
        <w:t>kvalitet</w:t>
      </w:r>
      <w:r w:rsidR="008E2BA9" w:rsidRPr="00E314EC">
        <w:t>om</w:t>
      </w:r>
      <w:r w:rsidRPr="00E314EC">
        <w:t xml:space="preserve"> napona itd</w:t>
      </w:r>
      <w:r w:rsidR="008E2BA9" w:rsidRPr="00E314EC">
        <w:t xml:space="preserve">. </w:t>
      </w:r>
      <w:r w:rsidRPr="00E314EC">
        <w:t>Svak</w:t>
      </w:r>
      <w:r w:rsidR="008E2BA9" w:rsidRPr="00E314EC">
        <w:t>a</w:t>
      </w:r>
      <w:r w:rsidRPr="00E314EC">
        <w:t xml:space="preserve"> </w:t>
      </w:r>
      <w:proofErr w:type="gramStart"/>
      <w:r w:rsidRPr="00E314EC">
        <w:t>od</w:t>
      </w:r>
      <w:proofErr w:type="gramEnd"/>
      <w:r w:rsidRPr="00E314EC">
        <w:t xml:space="preserve"> ovih usluga je</w:t>
      </w:r>
      <w:r w:rsidR="008E2BA9" w:rsidRPr="00E314EC">
        <w:t xml:space="preserve"> </w:t>
      </w:r>
      <w:r w:rsidRPr="00E314EC">
        <w:t xml:space="preserve">transakcija koji uključuje neki komercijalni aspekt kvaliteta. </w:t>
      </w:r>
      <w:proofErr w:type="gramStart"/>
      <w:r w:rsidRPr="00E314EC">
        <w:t xml:space="preserve">Najčešći komercijalni aspekt </w:t>
      </w:r>
      <w:r w:rsidR="008E2BA9" w:rsidRPr="00E314EC">
        <w:t xml:space="preserve">ovog </w:t>
      </w:r>
      <w:r w:rsidRPr="00E314EC">
        <w:t>kvalitet</w:t>
      </w:r>
      <w:r w:rsidR="008E2BA9" w:rsidRPr="00E314EC">
        <w:t xml:space="preserve">a je </w:t>
      </w:r>
      <w:r w:rsidRPr="00E314EC">
        <w:t xml:space="preserve">blagovremenost usluga </w:t>
      </w:r>
      <w:r w:rsidR="008E2BA9" w:rsidRPr="00E314EC">
        <w:t xml:space="preserve">po </w:t>
      </w:r>
      <w:r w:rsidRPr="00E314EC">
        <w:t>zahtevu kupaca.</w:t>
      </w:r>
      <w:proofErr w:type="gramEnd"/>
      <w:r w:rsidRPr="00E314EC">
        <w:t xml:space="preserve"> </w:t>
      </w:r>
      <w:proofErr w:type="gramStart"/>
      <w:r w:rsidRPr="00E314EC">
        <w:t>Međutim ,definicija</w:t>
      </w:r>
      <w:proofErr w:type="gramEnd"/>
      <w:r w:rsidRPr="00E314EC">
        <w:t xml:space="preserve"> termina "blagovremenost</w:t>
      </w:r>
      <w:r w:rsidR="008E2BA9" w:rsidRPr="00E314EC">
        <w:t>”</w:t>
      </w:r>
      <w:r w:rsidRPr="00E314EC">
        <w:t xml:space="preserve"> i nivo garantovanih standarda koje nameće regulator može da varira od zemlje do zemlje </w:t>
      </w:r>
      <w:r w:rsidR="008E2BA9" w:rsidRPr="00E314EC">
        <w:t>(</w:t>
      </w:r>
      <w:r w:rsidRPr="00E314EC">
        <w:t>5</w:t>
      </w:r>
      <w:r w:rsidR="008E2BA9" w:rsidRPr="00E314EC">
        <w:t xml:space="preserve"> –</w:t>
      </w:r>
      <w:r w:rsidRPr="00E314EC">
        <w:t xml:space="preserve"> 7</w:t>
      </w:r>
      <w:r w:rsidR="008E2BA9" w:rsidRPr="00E314EC">
        <w:t>)</w:t>
      </w:r>
      <w:r w:rsidRPr="00E314EC">
        <w:t xml:space="preserve">. Da bi se pojednostavio pristup ovako složenom pitanju komercijalnog kvaliteta, indikatori </w:t>
      </w:r>
      <w:r w:rsidR="008E2BA9" w:rsidRPr="00E314EC">
        <w:t xml:space="preserve">koji </w:t>
      </w:r>
      <w:r w:rsidRPr="00E314EC">
        <w:t>se odnose na komercijaln</w:t>
      </w:r>
      <w:r w:rsidR="008E2BA9" w:rsidRPr="00E314EC">
        <w:t>i</w:t>
      </w:r>
      <w:r w:rsidRPr="00E314EC">
        <w:t xml:space="preserve"> kvalitet su klasifikovan</w:t>
      </w:r>
      <w:r w:rsidR="008E2BA9" w:rsidRPr="00E314EC">
        <w:t>i</w:t>
      </w:r>
      <w:r w:rsidRPr="00E314EC">
        <w:t xml:space="preserve"> u 4 osnovne </w:t>
      </w:r>
      <w:proofErr w:type="gramStart"/>
      <w:r w:rsidRPr="00E314EC">
        <w:t>grupe :</w:t>
      </w:r>
      <w:proofErr w:type="gramEnd"/>
    </w:p>
    <w:p w:rsidR="006F17AE" w:rsidRPr="00E314EC" w:rsidRDefault="006F17AE" w:rsidP="008E2BA9">
      <w:pPr>
        <w:jc w:val="both"/>
      </w:pPr>
    </w:p>
    <w:p w:rsidR="006F17AE" w:rsidRPr="00E314EC" w:rsidRDefault="006F17AE" w:rsidP="006F17AE">
      <w:r w:rsidRPr="00E314EC">
        <w:t>• P</w:t>
      </w:r>
      <w:r w:rsidR="008E2BA9" w:rsidRPr="00E314EC">
        <w:t>riključci</w:t>
      </w:r>
      <w:r w:rsidRPr="00E314EC">
        <w:t xml:space="preserve"> </w:t>
      </w:r>
      <w:proofErr w:type="gramStart"/>
      <w:r w:rsidRPr="00E314EC">
        <w:t>( Grupa</w:t>
      </w:r>
      <w:proofErr w:type="gramEnd"/>
      <w:r w:rsidRPr="00E314EC">
        <w:t xml:space="preserve"> I ) ;</w:t>
      </w:r>
    </w:p>
    <w:p w:rsidR="006F17AE" w:rsidRPr="00E314EC" w:rsidRDefault="006F17AE" w:rsidP="006F17AE">
      <w:r w:rsidRPr="00E314EC">
        <w:t xml:space="preserve">• </w:t>
      </w:r>
      <w:r w:rsidR="008E2BA9" w:rsidRPr="00E314EC">
        <w:t>Zahtevi potrošača</w:t>
      </w:r>
      <w:r w:rsidRPr="00E314EC">
        <w:t xml:space="preserve"> </w:t>
      </w:r>
      <w:proofErr w:type="gramStart"/>
      <w:r w:rsidRPr="00E314EC">
        <w:t>( grupa</w:t>
      </w:r>
      <w:proofErr w:type="gramEnd"/>
      <w:r w:rsidRPr="00E314EC">
        <w:t xml:space="preserve"> II ) ;</w:t>
      </w:r>
    </w:p>
    <w:p w:rsidR="006F17AE" w:rsidRPr="00E314EC" w:rsidRDefault="006F17AE" w:rsidP="006F17AE">
      <w:r w:rsidRPr="00E314EC">
        <w:t xml:space="preserve">• Tehnička služba </w:t>
      </w:r>
      <w:proofErr w:type="gramStart"/>
      <w:r w:rsidRPr="00E314EC">
        <w:t>( III</w:t>
      </w:r>
      <w:proofErr w:type="gramEnd"/>
      <w:r w:rsidRPr="00E314EC">
        <w:t xml:space="preserve"> grupa ) ;</w:t>
      </w:r>
    </w:p>
    <w:p w:rsidR="006F17AE" w:rsidRPr="00E314EC" w:rsidRDefault="006F17AE" w:rsidP="006F17AE">
      <w:r w:rsidRPr="00E314EC">
        <w:t xml:space="preserve">• Merenje i obračun </w:t>
      </w:r>
      <w:proofErr w:type="gramStart"/>
      <w:r w:rsidRPr="00E314EC">
        <w:t>( Grupa</w:t>
      </w:r>
      <w:proofErr w:type="gramEnd"/>
      <w:r w:rsidRPr="00E314EC">
        <w:t xml:space="preserve"> IV ) .</w:t>
      </w:r>
    </w:p>
    <w:p w:rsidR="006F17AE" w:rsidRPr="00E314EC" w:rsidRDefault="006F17AE" w:rsidP="006F17AE"/>
    <w:p w:rsidR="006F17AE" w:rsidRPr="00E314EC" w:rsidRDefault="006F17AE" w:rsidP="008E2BA9">
      <w:pPr>
        <w:ind w:firstLine="720"/>
        <w:jc w:val="both"/>
      </w:pPr>
      <w:r w:rsidRPr="00E314EC">
        <w:t>Garantovan</w:t>
      </w:r>
      <w:r w:rsidR="008E2BA9" w:rsidRPr="00E314EC">
        <w:t>i</w:t>
      </w:r>
      <w:r w:rsidRPr="00E314EC">
        <w:t xml:space="preserve"> S</w:t>
      </w:r>
      <w:r w:rsidR="008E2BA9" w:rsidRPr="00E314EC">
        <w:t>t</w:t>
      </w:r>
      <w:r w:rsidRPr="00E314EC">
        <w:t xml:space="preserve">andardi se odnose </w:t>
      </w:r>
      <w:proofErr w:type="gramStart"/>
      <w:r w:rsidRPr="00E314EC">
        <w:t>na</w:t>
      </w:r>
      <w:proofErr w:type="gramEnd"/>
      <w:r w:rsidRPr="00E314EC">
        <w:t xml:space="preserve"> nivo kvaliteta usluga koje se moraju ispuniti u svakom pojedinačnom slučaju. </w:t>
      </w:r>
      <w:proofErr w:type="gramStart"/>
      <w:r w:rsidRPr="00E314EC">
        <w:t>Ako</w:t>
      </w:r>
      <w:r w:rsidR="008E2BA9" w:rsidRPr="00E314EC">
        <w:t xml:space="preserve"> </w:t>
      </w:r>
      <w:r w:rsidRPr="00E314EC">
        <w:t xml:space="preserve">kompanija ne obezbedi nivo usluge po standardu, </w:t>
      </w:r>
      <w:r w:rsidR="008E2BA9" w:rsidRPr="00E314EC">
        <w:t>oštećenom kupcu mora da novčano nadoknadi taj gubitak</w:t>
      </w:r>
      <w:r w:rsidRPr="00E314EC">
        <w:t>.</w:t>
      </w:r>
      <w:proofErr w:type="gramEnd"/>
      <w:r w:rsidRPr="00E314EC">
        <w:t xml:space="preserve"> Prosečne vrednosti garantovanog nivoa usluga u smislu </w:t>
      </w:r>
      <w:r w:rsidR="008E2BA9" w:rsidRPr="00E314EC">
        <w:t xml:space="preserve">brzine </w:t>
      </w:r>
      <w:r w:rsidRPr="00E314EC">
        <w:t xml:space="preserve">odgovora (npr. 5 radnih </w:t>
      </w:r>
      <w:proofErr w:type="gramStart"/>
      <w:r w:rsidRPr="00E314EC">
        <w:t>dana</w:t>
      </w:r>
      <w:proofErr w:type="gramEnd"/>
      <w:r w:rsidRPr="00E314EC">
        <w:t xml:space="preserve">) i ekonomske kompenzacije za kupca u slučaju neispunjenja uslova </w:t>
      </w:r>
      <w:r w:rsidR="008E2BA9" w:rsidRPr="00E314EC">
        <w:t>su</w:t>
      </w:r>
      <w:r w:rsidRPr="00E314EC">
        <w:t xml:space="preserve"> predstavljen</w:t>
      </w:r>
      <w:r w:rsidR="008E2BA9" w:rsidRPr="00E314EC">
        <w:t xml:space="preserve">e </w:t>
      </w:r>
      <w:r w:rsidRPr="00E314EC">
        <w:t xml:space="preserve">u tabeli </w:t>
      </w:r>
      <w:r w:rsidR="008E2BA9" w:rsidRPr="00E314EC">
        <w:t>1.</w:t>
      </w:r>
    </w:p>
    <w:p w:rsidR="006F17AE" w:rsidRPr="00E314EC" w:rsidRDefault="006F17AE" w:rsidP="006F17AE"/>
    <w:p w:rsidR="008E2BA9" w:rsidRPr="00E314EC" w:rsidRDefault="008E2BA9" w:rsidP="006F17AE"/>
    <w:p w:rsidR="008E2BA9" w:rsidRPr="00E314EC" w:rsidRDefault="008E2BA9" w:rsidP="006F17AE"/>
    <w:p w:rsidR="008E2BA9" w:rsidRPr="00E314EC" w:rsidRDefault="008E2BA9" w:rsidP="006F17AE"/>
    <w:p w:rsidR="008E2BA9" w:rsidRPr="00E314EC" w:rsidRDefault="008E2BA9" w:rsidP="006F17AE"/>
    <w:p w:rsidR="008E2BA9" w:rsidRPr="00E314EC" w:rsidRDefault="008E2BA9" w:rsidP="006F17AE"/>
    <w:p w:rsidR="008E2BA9" w:rsidRPr="00E314EC" w:rsidRDefault="008E2BA9" w:rsidP="006F17AE"/>
    <w:p w:rsidR="008E2BA9" w:rsidRPr="00E314EC" w:rsidRDefault="008E2BA9" w:rsidP="006F17AE"/>
    <w:p w:rsidR="008E2BA9" w:rsidRDefault="008E2BA9" w:rsidP="006F17AE"/>
    <w:p w:rsidR="00E314EC" w:rsidRDefault="00E314EC" w:rsidP="006F17AE"/>
    <w:p w:rsidR="00E314EC" w:rsidRDefault="00E314EC" w:rsidP="006F17AE"/>
    <w:p w:rsidR="00E314EC" w:rsidRDefault="00E314EC" w:rsidP="006F17AE"/>
    <w:p w:rsidR="00E314EC" w:rsidRPr="00E314EC" w:rsidRDefault="00E314EC" w:rsidP="006F17AE"/>
    <w:p w:rsidR="008E2BA9" w:rsidRPr="00E314EC" w:rsidRDefault="008E2BA9" w:rsidP="006F17AE">
      <w:proofErr w:type="gramStart"/>
      <w:r w:rsidRPr="00E314EC">
        <w:lastRenderedPageBreak/>
        <w:t>Tabela 1.</w:t>
      </w:r>
      <w:proofErr w:type="gramEnd"/>
      <w:r w:rsidRPr="00E314EC">
        <w:t xml:space="preserve"> Prosečne vrednosti indikatora kvaliteta usluga</w:t>
      </w:r>
    </w:p>
    <w:p w:rsidR="008E2BA9" w:rsidRPr="00E314EC" w:rsidRDefault="008E2BA9" w:rsidP="006F17AE"/>
    <w:tbl>
      <w:tblPr>
        <w:tblStyle w:val="TableGrid"/>
        <w:tblW w:w="5000" w:type="pct"/>
        <w:tblLayout w:type="fixed"/>
        <w:tblLook w:val="04A0"/>
      </w:tblPr>
      <w:tblGrid>
        <w:gridCol w:w="2201"/>
        <w:gridCol w:w="4779"/>
        <w:gridCol w:w="1256"/>
        <w:gridCol w:w="1051"/>
      </w:tblGrid>
      <w:tr w:rsidR="006F17AE" w:rsidRPr="00E314EC" w:rsidTr="00E314EC">
        <w:tc>
          <w:tcPr>
            <w:tcW w:w="1185" w:type="pct"/>
          </w:tcPr>
          <w:p w:rsidR="006F17AE" w:rsidRPr="00E314EC" w:rsidRDefault="008E2BA9" w:rsidP="00FF03C8">
            <w:r w:rsidRPr="00E314EC">
              <w:t>Kvalitet usluga</w:t>
            </w:r>
            <w:r w:rsidR="006F17AE" w:rsidRPr="00E314EC">
              <w:t xml:space="preserve"> </w:t>
            </w:r>
          </w:p>
        </w:tc>
        <w:tc>
          <w:tcPr>
            <w:tcW w:w="2573" w:type="pct"/>
          </w:tcPr>
          <w:p w:rsidR="006F17AE" w:rsidRPr="00E314EC" w:rsidRDefault="008E2BA9" w:rsidP="00FF03C8">
            <w:r w:rsidRPr="00E314EC">
              <w:t>Opis</w:t>
            </w:r>
          </w:p>
        </w:tc>
        <w:tc>
          <w:tcPr>
            <w:tcW w:w="676" w:type="pct"/>
          </w:tcPr>
          <w:p w:rsidR="006F17AE" w:rsidRPr="00E314EC" w:rsidRDefault="008E2BA9" w:rsidP="00FF03C8">
            <w:r w:rsidRPr="00E314EC">
              <w:t>Vreme (dani)</w:t>
            </w:r>
          </w:p>
        </w:tc>
        <w:tc>
          <w:tcPr>
            <w:tcW w:w="566" w:type="pct"/>
          </w:tcPr>
          <w:p w:rsidR="006F17AE" w:rsidRPr="00E314EC" w:rsidRDefault="008E2BA9" w:rsidP="00FF03C8">
            <w:r w:rsidRPr="00E314EC">
              <w:t>Naknada</w:t>
            </w:r>
            <w:r w:rsidR="006F17AE" w:rsidRPr="00E314EC">
              <w:t xml:space="preserve"> (€)</w:t>
            </w:r>
          </w:p>
        </w:tc>
      </w:tr>
      <w:tr w:rsidR="006F17AE" w:rsidRPr="00E314EC" w:rsidTr="00E314EC">
        <w:tc>
          <w:tcPr>
            <w:tcW w:w="1185" w:type="pct"/>
          </w:tcPr>
          <w:p w:rsidR="006F17AE" w:rsidRPr="00E314EC" w:rsidRDefault="008E2BA9" w:rsidP="00FF03C8">
            <w:r w:rsidRPr="00E314EC">
              <w:t>Vreme odgovora na zahtev za priključak</w:t>
            </w:r>
          </w:p>
        </w:tc>
        <w:tc>
          <w:tcPr>
            <w:tcW w:w="2573" w:type="pct"/>
          </w:tcPr>
          <w:p w:rsidR="008E2BA9" w:rsidRPr="00E314EC" w:rsidRDefault="008E2BA9" w:rsidP="00FF03C8">
            <w:pPr>
              <w:autoSpaceDE w:val="0"/>
              <w:autoSpaceDN w:val="0"/>
              <w:adjustRightInd w:val="0"/>
              <w:jc w:val="both"/>
            </w:pPr>
            <w:r w:rsidRPr="00E314EC">
              <w:t>Vreme potrebno od prijema pis</w:t>
            </w:r>
            <w:r w:rsidR="00555B11" w:rsidRPr="00E314EC">
              <w:t>a</w:t>
            </w:r>
            <w:r w:rsidRPr="00E314EC">
              <w:t xml:space="preserve">nog zahteva za </w:t>
            </w:r>
            <w:r w:rsidR="00555B11" w:rsidRPr="00E314EC">
              <w:t xml:space="preserve">izdavanje uslova za </w:t>
            </w:r>
            <w:r w:rsidRPr="00E314EC">
              <w:t>priključenje i upućivanja odgovora</w:t>
            </w:r>
            <w:r w:rsidR="00555B11" w:rsidRPr="00E314EC">
              <w:t>.</w:t>
            </w:r>
          </w:p>
          <w:p w:rsidR="006F17AE" w:rsidRPr="00E314EC" w:rsidRDefault="006F17AE" w:rsidP="00FF03C8">
            <w:pPr>
              <w:autoSpaceDE w:val="0"/>
              <w:autoSpaceDN w:val="0"/>
              <w:adjustRightInd w:val="0"/>
              <w:jc w:val="both"/>
            </w:pPr>
            <w:r w:rsidRPr="00E314EC">
              <w:t xml:space="preserve">. </w:t>
            </w:r>
          </w:p>
        </w:tc>
        <w:tc>
          <w:tcPr>
            <w:tcW w:w="676" w:type="pct"/>
          </w:tcPr>
          <w:p w:rsidR="006F17AE" w:rsidRPr="00E314EC" w:rsidRDefault="006F17AE" w:rsidP="00FF03C8">
            <w:r w:rsidRPr="00E314EC">
              <w:t>8-30</w:t>
            </w:r>
          </w:p>
        </w:tc>
        <w:tc>
          <w:tcPr>
            <w:tcW w:w="566" w:type="pct"/>
          </w:tcPr>
          <w:p w:rsidR="006F17AE" w:rsidRPr="00E314EC" w:rsidRDefault="006F17AE" w:rsidP="00FF03C8">
            <w:r w:rsidRPr="00E314EC">
              <w:t>27</w:t>
            </w:r>
          </w:p>
        </w:tc>
      </w:tr>
      <w:tr w:rsidR="006F17AE" w:rsidRPr="00E314EC" w:rsidTr="00E314EC">
        <w:tc>
          <w:tcPr>
            <w:tcW w:w="1185" w:type="pct"/>
          </w:tcPr>
          <w:p w:rsidR="006F17AE" w:rsidRPr="00E314EC" w:rsidRDefault="008E2BA9" w:rsidP="00FF03C8">
            <w:r w:rsidRPr="00E314EC">
              <w:t>Vreme potrebno za izdavanje predračuna za radove</w:t>
            </w:r>
          </w:p>
        </w:tc>
        <w:tc>
          <w:tcPr>
            <w:tcW w:w="2573" w:type="pct"/>
          </w:tcPr>
          <w:p w:rsidR="00555B11" w:rsidRPr="00E314EC" w:rsidRDefault="00555B11" w:rsidP="00555B11">
            <w:pPr>
              <w:autoSpaceDE w:val="0"/>
              <w:autoSpaceDN w:val="0"/>
              <w:adjustRightInd w:val="0"/>
              <w:jc w:val="both"/>
            </w:pPr>
            <w:r w:rsidRPr="00E314EC">
              <w:t>Vreme potrebno od prijema pisanog zahteva za izdavanje uslova za priključenje i upućivanja odgovora, uključujući I izradu predračuna</w:t>
            </w:r>
          </w:p>
          <w:p w:rsidR="006F17AE" w:rsidRPr="00E314EC" w:rsidRDefault="006F17AE" w:rsidP="00FF03C8">
            <w:pPr>
              <w:autoSpaceDE w:val="0"/>
              <w:autoSpaceDN w:val="0"/>
              <w:adjustRightInd w:val="0"/>
              <w:jc w:val="both"/>
            </w:pPr>
          </w:p>
        </w:tc>
        <w:tc>
          <w:tcPr>
            <w:tcW w:w="676" w:type="pct"/>
          </w:tcPr>
          <w:p w:rsidR="006F17AE" w:rsidRPr="00E314EC" w:rsidRDefault="006F17AE" w:rsidP="00FF03C8">
            <w:r w:rsidRPr="00E314EC">
              <w:t>5-35</w:t>
            </w:r>
          </w:p>
        </w:tc>
        <w:tc>
          <w:tcPr>
            <w:tcW w:w="566" w:type="pct"/>
          </w:tcPr>
          <w:p w:rsidR="006F17AE" w:rsidRPr="00E314EC" w:rsidRDefault="006F17AE" w:rsidP="00FF03C8">
            <w:r w:rsidRPr="00E314EC">
              <w:t>30</w:t>
            </w:r>
          </w:p>
        </w:tc>
      </w:tr>
      <w:tr w:rsidR="006F17AE" w:rsidRPr="00E314EC" w:rsidTr="00E314EC">
        <w:tc>
          <w:tcPr>
            <w:tcW w:w="1185" w:type="pct"/>
          </w:tcPr>
          <w:p w:rsidR="006F17AE" w:rsidRPr="00E314EC" w:rsidRDefault="008E2BA9" w:rsidP="00FF03C8">
            <w:r w:rsidRPr="00E314EC">
              <w:t>Vreme za priključak</w:t>
            </w:r>
          </w:p>
        </w:tc>
        <w:tc>
          <w:tcPr>
            <w:tcW w:w="2573" w:type="pct"/>
          </w:tcPr>
          <w:p w:rsidR="00555B11" w:rsidRPr="00E314EC" w:rsidRDefault="00555B11" w:rsidP="00555B11">
            <w:pPr>
              <w:autoSpaceDE w:val="0"/>
              <w:autoSpaceDN w:val="0"/>
              <w:adjustRightInd w:val="0"/>
              <w:jc w:val="both"/>
            </w:pPr>
            <w:r w:rsidRPr="00E314EC">
              <w:t>Vreme potrebno od prijema pisanog zahteva za priključenje i priključivanje potrošača.</w:t>
            </w:r>
          </w:p>
          <w:p w:rsidR="006F17AE" w:rsidRPr="00E314EC" w:rsidRDefault="006F17AE" w:rsidP="00FF03C8">
            <w:pPr>
              <w:autoSpaceDE w:val="0"/>
              <w:autoSpaceDN w:val="0"/>
              <w:adjustRightInd w:val="0"/>
              <w:jc w:val="both"/>
            </w:pPr>
          </w:p>
        </w:tc>
        <w:tc>
          <w:tcPr>
            <w:tcW w:w="676" w:type="pct"/>
          </w:tcPr>
          <w:p w:rsidR="006F17AE" w:rsidRPr="00E314EC" w:rsidRDefault="006F17AE" w:rsidP="00FF03C8">
            <w:r w:rsidRPr="00E314EC">
              <w:t>2-18</w:t>
            </w:r>
          </w:p>
        </w:tc>
        <w:tc>
          <w:tcPr>
            <w:tcW w:w="566" w:type="pct"/>
          </w:tcPr>
          <w:p w:rsidR="006F17AE" w:rsidRPr="00E314EC" w:rsidRDefault="006F17AE" w:rsidP="00FF03C8">
            <w:r w:rsidRPr="00E314EC">
              <w:t>40</w:t>
            </w:r>
          </w:p>
        </w:tc>
      </w:tr>
      <w:tr w:rsidR="006F17AE" w:rsidRPr="00E314EC" w:rsidTr="00E314EC">
        <w:tc>
          <w:tcPr>
            <w:tcW w:w="1185" w:type="pct"/>
          </w:tcPr>
          <w:p w:rsidR="006F17AE" w:rsidRPr="00E314EC" w:rsidRDefault="008E2BA9" w:rsidP="00FF03C8">
            <w:r w:rsidRPr="00E314EC">
              <w:t>Isključenje na zahtev kupca</w:t>
            </w:r>
          </w:p>
        </w:tc>
        <w:tc>
          <w:tcPr>
            <w:tcW w:w="2573" w:type="pct"/>
          </w:tcPr>
          <w:p w:rsidR="00555B11" w:rsidRPr="00E314EC" w:rsidRDefault="00555B11" w:rsidP="00555B11">
            <w:pPr>
              <w:autoSpaceDE w:val="0"/>
              <w:autoSpaceDN w:val="0"/>
              <w:adjustRightInd w:val="0"/>
              <w:jc w:val="both"/>
            </w:pPr>
            <w:r w:rsidRPr="00E314EC">
              <w:t>Vreme potrebno od prijema pisanog zahteva za isključenje i deaktivaciju potrošača.</w:t>
            </w:r>
          </w:p>
          <w:p w:rsidR="006F17AE" w:rsidRPr="00E314EC" w:rsidRDefault="006F17AE" w:rsidP="00555B11">
            <w:pPr>
              <w:jc w:val="both"/>
            </w:pPr>
          </w:p>
        </w:tc>
        <w:tc>
          <w:tcPr>
            <w:tcW w:w="676" w:type="pct"/>
          </w:tcPr>
          <w:p w:rsidR="006F17AE" w:rsidRPr="00E314EC" w:rsidRDefault="006F17AE" w:rsidP="00FF03C8">
            <w:r w:rsidRPr="00E314EC">
              <w:t>5-8</w:t>
            </w:r>
          </w:p>
        </w:tc>
        <w:tc>
          <w:tcPr>
            <w:tcW w:w="566" w:type="pct"/>
          </w:tcPr>
          <w:p w:rsidR="006F17AE" w:rsidRPr="00E314EC" w:rsidRDefault="006F17AE" w:rsidP="00FF03C8">
            <w:r w:rsidRPr="00E314EC">
              <w:t>30</w:t>
            </w:r>
          </w:p>
        </w:tc>
      </w:tr>
      <w:tr w:rsidR="006F17AE" w:rsidRPr="00E314EC" w:rsidTr="00E314EC">
        <w:tc>
          <w:tcPr>
            <w:tcW w:w="1185" w:type="pct"/>
          </w:tcPr>
          <w:p w:rsidR="006F17AE" w:rsidRPr="00E314EC" w:rsidRDefault="008E2BA9" w:rsidP="00FF03C8">
            <w:r w:rsidRPr="00E314EC">
              <w:t>Vreme za odgovor na žalbu za kvalitet napona</w:t>
            </w:r>
          </w:p>
        </w:tc>
        <w:tc>
          <w:tcPr>
            <w:tcW w:w="2573" w:type="pct"/>
          </w:tcPr>
          <w:p w:rsidR="00555B11" w:rsidRPr="00E314EC" w:rsidRDefault="00555B11" w:rsidP="00555B11">
            <w:pPr>
              <w:autoSpaceDE w:val="0"/>
              <w:autoSpaceDN w:val="0"/>
              <w:adjustRightInd w:val="0"/>
              <w:jc w:val="both"/>
            </w:pPr>
            <w:r w:rsidRPr="00E314EC">
              <w:t>Vreme potrebno od prijema pisane žalbe I upućivanja odgovora, uključujući I merenja na licu mesta.</w:t>
            </w:r>
          </w:p>
          <w:p w:rsidR="006F17AE" w:rsidRPr="00E314EC" w:rsidRDefault="006F17AE" w:rsidP="00FF03C8">
            <w:pPr>
              <w:jc w:val="both"/>
            </w:pPr>
          </w:p>
        </w:tc>
        <w:tc>
          <w:tcPr>
            <w:tcW w:w="676" w:type="pct"/>
          </w:tcPr>
          <w:p w:rsidR="006F17AE" w:rsidRPr="00E314EC" w:rsidRDefault="006F17AE" w:rsidP="00FF03C8">
            <w:r w:rsidRPr="00E314EC">
              <w:t>5-60</w:t>
            </w:r>
          </w:p>
        </w:tc>
        <w:tc>
          <w:tcPr>
            <w:tcW w:w="566" w:type="pct"/>
          </w:tcPr>
          <w:p w:rsidR="006F17AE" w:rsidRPr="00E314EC" w:rsidRDefault="006F17AE" w:rsidP="00FF03C8">
            <w:r w:rsidRPr="00E314EC">
              <w:t>22</w:t>
            </w:r>
          </w:p>
        </w:tc>
      </w:tr>
      <w:tr w:rsidR="006F17AE" w:rsidRPr="00E314EC" w:rsidTr="00E314EC">
        <w:tc>
          <w:tcPr>
            <w:tcW w:w="1185" w:type="pct"/>
          </w:tcPr>
          <w:p w:rsidR="006F17AE" w:rsidRPr="00E314EC" w:rsidRDefault="008E2BA9" w:rsidP="00FF03C8">
            <w:r w:rsidRPr="00E314EC">
              <w:t>Vreme za odgovor na žalbu za prekide u napajanju</w:t>
            </w:r>
          </w:p>
        </w:tc>
        <w:tc>
          <w:tcPr>
            <w:tcW w:w="2573" w:type="pct"/>
          </w:tcPr>
          <w:p w:rsidR="00555B11" w:rsidRPr="00E314EC" w:rsidRDefault="00555B11" w:rsidP="00555B11">
            <w:pPr>
              <w:autoSpaceDE w:val="0"/>
              <w:autoSpaceDN w:val="0"/>
              <w:adjustRightInd w:val="0"/>
              <w:jc w:val="both"/>
            </w:pPr>
            <w:r w:rsidRPr="00E314EC">
              <w:t>Vreme potrebno od prijema pisane žalbe I upućivanja odgovora, uključujući I analizu događaja.</w:t>
            </w:r>
          </w:p>
          <w:p w:rsidR="00555B11" w:rsidRPr="00E314EC" w:rsidRDefault="00555B11" w:rsidP="00555B11">
            <w:pPr>
              <w:autoSpaceDE w:val="0"/>
              <w:autoSpaceDN w:val="0"/>
              <w:adjustRightInd w:val="0"/>
              <w:jc w:val="both"/>
            </w:pPr>
          </w:p>
          <w:p w:rsidR="006F17AE" w:rsidRPr="00E314EC" w:rsidRDefault="006F17AE" w:rsidP="00FF03C8">
            <w:pPr>
              <w:jc w:val="both"/>
            </w:pPr>
          </w:p>
        </w:tc>
        <w:tc>
          <w:tcPr>
            <w:tcW w:w="676" w:type="pct"/>
          </w:tcPr>
          <w:p w:rsidR="006F17AE" w:rsidRPr="00E314EC" w:rsidRDefault="006F17AE" w:rsidP="00FF03C8">
            <w:r w:rsidRPr="00E314EC">
              <w:t>7-20</w:t>
            </w:r>
          </w:p>
        </w:tc>
        <w:tc>
          <w:tcPr>
            <w:tcW w:w="566" w:type="pct"/>
          </w:tcPr>
          <w:p w:rsidR="006F17AE" w:rsidRPr="00E314EC" w:rsidRDefault="006F17AE" w:rsidP="00FF03C8">
            <w:r w:rsidRPr="00E314EC">
              <w:t>30</w:t>
            </w:r>
          </w:p>
        </w:tc>
      </w:tr>
      <w:tr w:rsidR="006F17AE" w:rsidRPr="00E314EC" w:rsidTr="00E314EC">
        <w:tc>
          <w:tcPr>
            <w:tcW w:w="1185" w:type="pct"/>
          </w:tcPr>
          <w:p w:rsidR="006F17AE" w:rsidRPr="00E314EC" w:rsidRDefault="008E2BA9" w:rsidP="00FF03C8">
            <w:pPr>
              <w:autoSpaceDE w:val="0"/>
              <w:autoSpaceDN w:val="0"/>
              <w:adjustRightInd w:val="0"/>
            </w:pPr>
            <w:r w:rsidRPr="00E314EC">
              <w:t>Vreme za odgovor na žalbu u pogledu tačnosti merenja</w:t>
            </w:r>
            <w:r w:rsidR="006F17AE" w:rsidRPr="00E314EC">
              <w:t xml:space="preserve"> </w:t>
            </w:r>
          </w:p>
        </w:tc>
        <w:tc>
          <w:tcPr>
            <w:tcW w:w="2573" w:type="pct"/>
          </w:tcPr>
          <w:p w:rsidR="00555B11" w:rsidRPr="00E314EC" w:rsidRDefault="00555B11" w:rsidP="00555B11">
            <w:pPr>
              <w:autoSpaceDE w:val="0"/>
              <w:autoSpaceDN w:val="0"/>
              <w:adjustRightInd w:val="0"/>
              <w:jc w:val="both"/>
            </w:pPr>
            <w:r w:rsidRPr="00E314EC">
              <w:t>Vreme potrebno od prijema pisane žalbe I upućivanja odgovora, uključujući I merenja na licu mesta.</w:t>
            </w:r>
          </w:p>
          <w:p w:rsidR="006F17AE" w:rsidRPr="00E314EC" w:rsidRDefault="006F17AE" w:rsidP="00FF03C8">
            <w:pPr>
              <w:jc w:val="both"/>
            </w:pPr>
          </w:p>
        </w:tc>
        <w:tc>
          <w:tcPr>
            <w:tcW w:w="676" w:type="pct"/>
          </w:tcPr>
          <w:p w:rsidR="006F17AE" w:rsidRPr="00E314EC" w:rsidRDefault="006F17AE" w:rsidP="00FF03C8">
            <w:r w:rsidRPr="00E314EC">
              <w:t>3-30</w:t>
            </w:r>
          </w:p>
        </w:tc>
        <w:tc>
          <w:tcPr>
            <w:tcW w:w="566" w:type="pct"/>
          </w:tcPr>
          <w:p w:rsidR="006F17AE" w:rsidRPr="00E314EC" w:rsidRDefault="006F17AE" w:rsidP="00FF03C8">
            <w:r w:rsidRPr="00E314EC">
              <w:t>25</w:t>
            </w:r>
          </w:p>
        </w:tc>
      </w:tr>
    </w:tbl>
    <w:p w:rsidR="006F17AE" w:rsidRPr="00E314EC" w:rsidRDefault="006F17AE" w:rsidP="006F17AE"/>
    <w:p w:rsidR="006F17AE" w:rsidRPr="00E314EC" w:rsidRDefault="006F17AE" w:rsidP="006F17AE"/>
    <w:p w:rsidR="004E63A6" w:rsidRPr="00E314EC" w:rsidRDefault="004E63A6" w:rsidP="004E63A6">
      <w:pPr>
        <w:spacing w:line="360" w:lineRule="auto"/>
        <w:ind w:firstLine="202"/>
        <w:jc w:val="both"/>
      </w:pPr>
      <w:r w:rsidRPr="00E314EC">
        <w:t>Prema teoriji masovnog opsluživanja, verovatnoća da je s vozila raspoloživo može se izračunati iz izraza (1), prema M/M/s modelu:</w:t>
      </w:r>
    </w:p>
    <w:p w:rsidR="004E63A6" w:rsidRPr="00E314EC" w:rsidRDefault="00225EE0" w:rsidP="004E63A6">
      <w:pPr>
        <w:spacing w:line="360" w:lineRule="auto"/>
        <w:ind w:firstLine="202"/>
        <w:jc w:val="both"/>
      </w:pPr>
      <w:r w:rsidRPr="00E314EC">
        <w:rPr>
          <w:noProof/>
          <w:lang w:val="en-A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9.5pt;margin-top:12.75pt;width:177.85pt;height:39.1pt;z-index:251660288">
            <v:imagedata r:id="rId6" o:title=""/>
            <w10:wrap type="square"/>
          </v:shape>
          <o:OLEObject Type="Embed" ProgID="Equation.DSMT4" ShapeID="_x0000_s1088" DrawAspect="Content" ObjectID="_1459672432" r:id="rId7"/>
        </w:pict>
      </w:r>
    </w:p>
    <w:p w:rsidR="004E63A6" w:rsidRPr="00E314EC" w:rsidRDefault="004E63A6" w:rsidP="00491FE0">
      <w:pPr>
        <w:tabs>
          <w:tab w:val="left" w:pos="567"/>
          <w:tab w:val="left" w:pos="7655"/>
        </w:tabs>
        <w:jc w:val="both"/>
      </w:pPr>
      <w:r w:rsidRPr="00E314EC">
        <w:tab/>
      </w:r>
      <w:r w:rsidRPr="00E314EC">
        <w:tab/>
      </w:r>
      <w:r w:rsidRPr="00E314EC">
        <w:tab/>
      </w:r>
      <w:r w:rsidRPr="00E314EC">
        <w:tab/>
      </w:r>
      <w:r w:rsidRPr="00E314EC">
        <w:tab/>
      </w:r>
      <w:r w:rsidRPr="00E314EC">
        <w:tab/>
      </w:r>
      <w:r w:rsidRPr="00E314EC">
        <w:tab/>
      </w:r>
      <w:r w:rsidRPr="00E314EC">
        <w:tab/>
      </w:r>
      <w:r w:rsidRPr="00E314EC">
        <w:tab/>
      </w:r>
      <w:r w:rsidRPr="00E314EC">
        <w:tab/>
      </w:r>
      <w:r w:rsidRPr="00E314EC">
        <w:tab/>
      </w:r>
      <w:r w:rsidRPr="00E314EC">
        <w:tab/>
      </w:r>
      <w:r w:rsidRPr="00E314EC">
        <w:tab/>
      </w:r>
      <w:r w:rsidRPr="00E314EC">
        <w:tab/>
      </w:r>
      <w:r w:rsidRPr="00E314EC">
        <w:tab/>
        <w:t>(1)</w:t>
      </w:r>
    </w:p>
    <w:p w:rsidR="004E63A6" w:rsidRPr="00E314EC" w:rsidRDefault="004E63A6" w:rsidP="004E63A6">
      <w:pPr>
        <w:spacing w:line="360" w:lineRule="auto"/>
        <w:ind w:firstLine="202"/>
        <w:jc w:val="both"/>
      </w:pPr>
    </w:p>
    <w:p w:rsidR="004E63A6" w:rsidRPr="00E314EC" w:rsidRDefault="00491FE0" w:rsidP="004E63A6">
      <w:pPr>
        <w:spacing w:line="360" w:lineRule="auto"/>
        <w:ind w:firstLine="202"/>
        <w:jc w:val="both"/>
      </w:pPr>
      <w:r w:rsidRPr="00E314EC">
        <w:tab/>
      </w:r>
      <w:r w:rsidRPr="00E314EC">
        <w:tab/>
      </w:r>
      <w:r w:rsidRPr="00E314EC">
        <w:tab/>
      </w:r>
      <w:r w:rsidRPr="00E314EC">
        <w:tab/>
      </w:r>
      <w:r w:rsidRPr="00E314EC">
        <w:tab/>
      </w:r>
      <w:r w:rsidRPr="00E314EC">
        <w:tab/>
        <w:t>(1)</w:t>
      </w:r>
    </w:p>
    <w:p w:rsidR="004E63A6" w:rsidRPr="00E314EC" w:rsidRDefault="004E63A6" w:rsidP="004E63A6">
      <w:r w:rsidRPr="00E314EC">
        <w:t>s</w:t>
      </w:r>
      <w:r w:rsidRPr="00E314EC">
        <w:tab/>
        <w:t xml:space="preserve">- </w:t>
      </w:r>
      <w:proofErr w:type="gramStart"/>
      <w:r w:rsidRPr="00E314EC">
        <w:t>broj</w:t>
      </w:r>
      <w:proofErr w:type="gramEnd"/>
      <w:r w:rsidRPr="00E314EC">
        <w:t xml:space="preserve"> vozila</w:t>
      </w:r>
      <w:r w:rsidRPr="00E314EC">
        <w:br/>
        <w:t>λ</w:t>
      </w:r>
      <w:r w:rsidRPr="00E314EC">
        <w:tab/>
        <w:t>- očekivani broj zahteva za intervenciju po jedinici vremena</w:t>
      </w:r>
      <w:r w:rsidRPr="00E314EC">
        <w:br/>
        <w:t xml:space="preserve">μ </w:t>
      </w:r>
      <w:r w:rsidRPr="00E314EC">
        <w:tab/>
        <w:t xml:space="preserve">- očekivani broj rešenih zahteva za intervenciju po jedinici vremena </w:t>
      </w:r>
    </w:p>
    <w:p w:rsidR="004E63A6" w:rsidRPr="00E314EC" w:rsidRDefault="004E63A6" w:rsidP="004E63A6">
      <w:r w:rsidRPr="00E314EC">
        <w:t>ρ</w:t>
      </w:r>
      <w:r w:rsidRPr="00E314EC">
        <w:tab/>
        <w:t xml:space="preserve">- </w:t>
      </w:r>
      <w:proofErr w:type="gramStart"/>
      <w:r w:rsidRPr="00E314EC">
        <w:t>factor</w:t>
      </w:r>
      <w:proofErr w:type="gramEnd"/>
      <w:r w:rsidRPr="00E314EC">
        <w:t xml:space="preserve"> korišćenja (ρ=λ/sμ)</w:t>
      </w:r>
    </w:p>
    <w:p w:rsidR="004E63A6" w:rsidRPr="00E314EC" w:rsidRDefault="004E63A6" w:rsidP="004E63A6">
      <w:pPr>
        <w:spacing w:line="360" w:lineRule="auto"/>
        <w:jc w:val="both"/>
      </w:pPr>
    </w:p>
    <w:p w:rsidR="004E63A6" w:rsidRPr="00E314EC" w:rsidRDefault="004E63A6" w:rsidP="006F17AE"/>
    <w:p w:rsidR="00491FE0" w:rsidRPr="00E314EC" w:rsidRDefault="004E63A6" w:rsidP="004E63A6">
      <w:pPr>
        <w:jc w:val="both"/>
      </w:pPr>
      <w:r w:rsidRPr="00E314EC">
        <w:t xml:space="preserve">Prosečno vreme čekanja </w:t>
      </w:r>
      <w:proofErr w:type="gramStart"/>
      <w:r w:rsidRPr="00E314EC">
        <w:t>na</w:t>
      </w:r>
      <w:proofErr w:type="gramEnd"/>
      <w:r w:rsidRPr="00E314EC">
        <w:t xml:space="preserve"> intervenciju je dobijeno iz izraza</w:t>
      </w:r>
      <w:r w:rsidR="00491FE0" w:rsidRPr="00E314EC">
        <w:t xml:space="preserve"> (2)</w:t>
      </w:r>
    </w:p>
    <w:p w:rsidR="00491FE0" w:rsidRPr="00E314EC" w:rsidRDefault="00491FE0" w:rsidP="004E63A6">
      <w:pPr>
        <w:jc w:val="both"/>
      </w:pPr>
    </w:p>
    <w:p w:rsidR="004E63A6" w:rsidRPr="00E314EC" w:rsidRDefault="00225EE0" w:rsidP="004E63A6">
      <w:pPr>
        <w:jc w:val="both"/>
      </w:pPr>
      <w:r w:rsidRPr="00E314EC">
        <w:pict>
          <v:shape id="_x0000_s1089" type="#_x0000_t75" style="position:absolute;left:0;text-align:left;margin-left:.3pt;margin-top:3.8pt;width:100.7pt;height:31.9pt;z-index:251662336" wrapcoords="11480 2512 6495 2512 151 7033 151 13563 5136 18586 8308 19591 19938 19591 21449 18084 21147 10549 18428 10549 20694 8037 20241 3014 12235 2512 11480 2512">
            <v:imagedata r:id="rId8" o:title=""/>
            <w10:wrap type="tight"/>
          </v:shape>
          <o:OLEObject Type="Embed" ProgID="Equation.DSMT4" ShapeID="_x0000_s1089" DrawAspect="Content" ObjectID="_1459672433" r:id="rId9"/>
        </w:pict>
      </w:r>
      <w:r w:rsidR="00491FE0" w:rsidRPr="00E314EC">
        <w:t xml:space="preserve"> </w:t>
      </w:r>
      <w:r w:rsidR="00491FE0" w:rsidRPr="00E314EC">
        <w:tab/>
      </w:r>
      <w:r w:rsidR="004E63A6" w:rsidRPr="00E314EC">
        <w:tab/>
      </w:r>
      <w:r w:rsidR="004E63A6" w:rsidRPr="00E314EC">
        <w:tab/>
      </w:r>
      <w:r w:rsidR="004E63A6" w:rsidRPr="00E314EC">
        <w:tab/>
      </w:r>
      <w:r w:rsidR="00491FE0" w:rsidRPr="00E314EC">
        <w:t xml:space="preserve">      </w:t>
      </w:r>
      <w:r w:rsidR="00491FE0" w:rsidRPr="00E314EC">
        <w:tab/>
      </w:r>
      <w:r w:rsidR="00491FE0" w:rsidRPr="00E314EC">
        <w:tab/>
      </w:r>
      <w:r w:rsidR="00491FE0" w:rsidRPr="00E314EC">
        <w:tab/>
      </w:r>
      <w:r w:rsidR="00491FE0" w:rsidRPr="00E314EC">
        <w:tab/>
        <w:t xml:space="preserve">       </w:t>
      </w:r>
      <w:r w:rsidR="004E63A6" w:rsidRPr="00E314EC">
        <w:t>(2)</w:t>
      </w:r>
    </w:p>
    <w:p w:rsidR="004E63A6" w:rsidRPr="00E314EC" w:rsidRDefault="004E63A6" w:rsidP="004E63A6">
      <w:pPr>
        <w:jc w:val="both"/>
      </w:pPr>
    </w:p>
    <w:p w:rsidR="004E63A6" w:rsidRPr="00E314EC" w:rsidRDefault="004E63A6" w:rsidP="004E63A6">
      <w:pPr>
        <w:tabs>
          <w:tab w:val="left" w:pos="1276"/>
          <w:tab w:val="left" w:pos="2410"/>
          <w:tab w:val="left" w:pos="8222"/>
        </w:tabs>
        <w:jc w:val="both"/>
      </w:pPr>
      <w:r w:rsidRPr="00E314EC">
        <w:tab/>
      </w:r>
      <w:r w:rsidRPr="00E314EC">
        <w:tab/>
      </w:r>
      <w:r w:rsidRPr="00E314EC">
        <w:tab/>
      </w:r>
      <w:r w:rsidRPr="00E314EC">
        <w:tab/>
      </w:r>
      <w:r w:rsidRPr="00E314EC">
        <w:tab/>
      </w:r>
      <w:r w:rsidRPr="00E314EC">
        <w:tab/>
      </w:r>
      <w:r w:rsidRPr="00E314EC">
        <w:tab/>
      </w:r>
      <w:r w:rsidRPr="00E314EC">
        <w:tab/>
        <w:t>(2)</w:t>
      </w:r>
    </w:p>
    <w:p w:rsidR="004E63A6" w:rsidRPr="00E314EC" w:rsidRDefault="004E63A6" w:rsidP="004E63A6">
      <w:pPr>
        <w:tabs>
          <w:tab w:val="left" w:pos="1276"/>
        </w:tabs>
        <w:jc w:val="both"/>
      </w:pPr>
    </w:p>
    <w:p w:rsidR="004E63A6" w:rsidRPr="00E314EC" w:rsidRDefault="004E63A6" w:rsidP="004E63A6">
      <w:pPr>
        <w:tabs>
          <w:tab w:val="left" w:pos="1276"/>
        </w:tabs>
        <w:jc w:val="both"/>
      </w:pPr>
    </w:p>
    <w:p w:rsidR="004E63A6" w:rsidRPr="00E314EC" w:rsidRDefault="004E63A6" w:rsidP="004E63A6">
      <w:pPr>
        <w:tabs>
          <w:tab w:val="left" w:pos="1276"/>
        </w:tabs>
        <w:jc w:val="both"/>
      </w:pPr>
    </w:p>
    <w:p w:rsidR="004E63A6" w:rsidRPr="00E314EC" w:rsidRDefault="004E63A6" w:rsidP="004E63A6">
      <w:pPr>
        <w:tabs>
          <w:tab w:val="left" w:pos="1276"/>
        </w:tabs>
        <w:jc w:val="both"/>
      </w:pPr>
      <w:r w:rsidRPr="00E314EC">
        <w:t xml:space="preserve">Uvodeći smenu α = λ/µ, </w:t>
      </w:r>
      <w:r w:rsidR="00225EE0" w:rsidRPr="00E314EC">
        <w:pict>
          <v:shape id="_x0000_s1090" type="#_x0000_t75" style="position:absolute;left:0;text-align:left;margin-left:.3pt;margin-top:15.75pt;width:146.85pt;height:35.3pt;z-index:251663360;mso-position-horizontal-relative:text;mso-position-vertical-relative:text">
            <v:imagedata r:id="rId10" o:title=""/>
            <w10:wrap type="square"/>
          </v:shape>
          <o:OLEObject Type="Embed" ProgID="Equation.DSMT4" ShapeID="_x0000_s1090" DrawAspect="Content" ObjectID="_1459672434" r:id="rId11"/>
        </w:pict>
      </w:r>
      <w:r w:rsidRPr="00E314EC">
        <w:t xml:space="preserve">raspodela verovatnoća vremena čekanja postaje: </w:t>
      </w:r>
    </w:p>
    <w:p w:rsidR="004E63A6" w:rsidRPr="00E314EC" w:rsidRDefault="004E63A6" w:rsidP="004E63A6">
      <w:pPr>
        <w:tabs>
          <w:tab w:val="left" w:pos="1276"/>
        </w:tabs>
        <w:jc w:val="both"/>
      </w:pPr>
      <w:r w:rsidRPr="00E314EC">
        <w:tab/>
      </w:r>
      <w:r w:rsidRPr="00E314EC">
        <w:tab/>
      </w:r>
    </w:p>
    <w:p w:rsidR="004E63A6" w:rsidRPr="00E314EC" w:rsidRDefault="004E63A6" w:rsidP="004E63A6">
      <w:pPr>
        <w:tabs>
          <w:tab w:val="left" w:pos="1276"/>
        </w:tabs>
        <w:jc w:val="both"/>
      </w:pPr>
      <w:r w:rsidRPr="00E314EC">
        <w:tab/>
      </w:r>
      <w:r w:rsidRPr="00E314EC">
        <w:tab/>
      </w:r>
      <w:r w:rsidRPr="00E314EC">
        <w:tab/>
      </w:r>
      <w:r w:rsidRPr="00E314EC">
        <w:tab/>
      </w:r>
      <w:r w:rsidRPr="00E314EC">
        <w:tab/>
      </w:r>
      <w:r w:rsidRPr="00E314EC">
        <w:tab/>
      </w:r>
      <w:r w:rsidR="00491FE0" w:rsidRPr="00E314EC">
        <w:t xml:space="preserve">               </w:t>
      </w:r>
      <w:r w:rsidRPr="00E314EC">
        <w:t>(3)</w:t>
      </w:r>
    </w:p>
    <w:p w:rsidR="00491FE0" w:rsidRPr="00E314EC" w:rsidRDefault="00491FE0" w:rsidP="006F17AE"/>
    <w:p w:rsidR="006F17AE" w:rsidRPr="00E314EC" w:rsidRDefault="00491FE0" w:rsidP="006F17AE">
      <w:r w:rsidRPr="00E314EC">
        <w:t>U</w:t>
      </w:r>
      <w:r w:rsidR="006F17AE" w:rsidRPr="00E314EC">
        <w:t xml:space="preserve">kupni godišnji troškovi mogu se odrediti </w:t>
      </w:r>
      <w:proofErr w:type="gramStart"/>
      <w:r w:rsidR="006F17AE" w:rsidRPr="00E314EC">
        <w:t>na</w:t>
      </w:r>
      <w:proofErr w:type="gramEnd"/>
      <w:r w:rsidR="006F17AE" w:rsidRPr="00E314EC">
        <w:t xml:space="preserve"> sledeći način:</w:t>
      </w:r>
    </w:p>
    <w:p w:rsidR="006F17AE" w:rsidRPr="00E314EC" w:rsidRDefault="006F17AE" w:rsidP="006F17AE"/>
    <w:p w:rsidR="006F17AE" w:rsidRPr="00E314EC" w:rsidRDefault="006F17AE" w:rsidP="006F17AE">
      <w:pPr>
        <w:autoSpaceDE w:val="0"/>
        <w:autoSpaceDN w:val="0"/>
        <w:adjustRightInd w:val="0"/>
        <w:jc w:val="both"/>
      </w:pPr>
    </w:p>
    <w:p w:rsidR="006F17AE" w:rsidRPr="00E314EC" w:rsidRDefault="006F17AE" w:rsidP="006F17AE">
      <w:pPr>
        <w:tabs>
          <w:tab w:val="left" w:pos="4678"/>
        </w:tabs>
        <w:autoSpaceDE w:val="0"/>
        <w:autoSpaceDN w:val="0"/>
        <w:adjustRightInd w:val="0"/>
        <w:jc w:val="both"/>
      </w:pPr>
      <w:r w:rsidRPr="00E314EC">
        <w:object w:dxaOrig="3980" w:dyaOrig="700">
          <v:shape id="_x0000_i1025" type="#_x0000_t75" style="width:198.35pt;height:34.65pt" o:ole="">
            <v:imagedata r:id="rId12" o:title=""/>
          </v:shape>
          <o:OLEObject Type="Embed" ProgID="Equation.DSMT4" ShapeID="_x0000_i1025" DrawAspect="Content" ObjectID="_1459672431" r:id="rId13"/>
        </w:object>
      </w:r>
      <w:r w:rsidRPr="00E314EC">
        <w:tab/>
      </w:r>
      <w:r w:rsidR="00491FE0" w:rsidRPr="00E314EC">
        <w:tab/>
      </w:r>
      <w:r w:rsidR="00491FE0" w:rsidRPr="00E314EC">
        <w:tab/>
      </w:r>
      <w:r w:rsidR="00491FE0" w:rsidRPr="00E314EC">
        <w:tab/>
      </w:r>
      <w:r w:rsidR="00491FE0" w:rsidRPr="00E314EC">
        <w:tab/>
      </w:r>
      <w:r w:rsidR="00E7201B" w:rsidRPr="00E314EC">
        <w:tab/>
      </w:r>
      <w:r w:rsidR="00491FE0" w:rsidRPr="00E314EC">
        <w:t>(4)</w:t>
      </w:r>
    </w:p>
    <w:p w:rsidR="00491FE0" w:rsidRPr="00E314EC" w:rsidRDefault="00491FE0" w:rsidP="006F17AE">
      <w:pPr>
        <w:tabs>
          <w:tab w:val="left" w:pos="4678"/>
        </w:tabs>
        <w:autoSpaceDE w:val="0"/>
        <w:autoSpaceDN w:val="0"/>
        <w:adjustRightInd w:val="0"/>
        <w:jc w:val="both"/>
      </w:pPr>
    </w:p>
    <w:p w:rsidR="00491FE0" w:rsidRPr="00E314EC" w:rsidRDefault="006F17AE" w:rsidP="00491FE0">
      <w:pPr>
        <w:autoSpaceDE w:val="0"/>
        <w:autoSpaceDN w:val="0"/>
        <w:adjustRightInd w:val="0"/>
        <w:ind w:left="720" w:hanging="720"/>
      </w:pPr>
      <w:proofErr w:type="gramStart"/>
      <w:r w:rsidRPr="00E314EC">
        <w:t>pk(</w:t>
      </w:r>
      <w:proofErr w:type="gramEnd"/>
      <w:r w:rsidRPr="00E314EC">
        <w:t>m)</w:t>
      </w:r>
      <w:r w:rsidRPr="00E314EC">
        <w:tab/>
        <w:t xml:space="preserve">- </w:t>
      </w:r>
      <w:r w:rsidR="00491FE0" w:rsidRPr="00E314EC">
        <w:t xml:space="preserve">ukupni godišnja stopa diskontovanja, uključujući I amortizaciju, troškove goriva I održavanja   </w:t>
      </w:r>
    </w:p>
    <w:p w:rsidR="00491FE0" w:rsidRPr="00E314EC" w:rsidRDefault="00491FE0" w:rsidP="00491FE0">
      <w:pPr>
        <w:autoSpaceDE w:val="0"/>
        <w:autoSpaceDN w:val="0"/>
        <w:adjustRightInd w:val="0"/>
      </w:pPr>
      <w:r w:rsidRPr="00E314EC">
        <w:t xml:space="preserve">               </w:t>
      </w:r>
      <w:proofErr w:type="gramStart"/>
      <w:r w:rsidRPr="00E314EC">
        <w:t>za</w:t>
      </w:r>
      <w:proofErr w:type="gramEnd"/>
      <w:r w:rsidRPr="00E314EC">
        <w:t xml:space="preserve"> vozilo tipa k.</w:t>
      </w:r>
    </w:p>
    <w:p w:rsidR="006F17AE" w:rsidRPr="00E314EC" w:rsidRDefault="006F17AE" w:rsidP="006F17AE">
      <w:pPr>
        <w:autoSpaceDE w:val="0"/>
        <w:autoSpaceDN w:val="0"/>
        <w:adjustRightInd w:val="0"/>
      </w:pPr>
      <w:r w:rsidRPr="00E314EC">
        <w:t>m</w:t>
      </w:r>
      <w:r w:rsidRPr="00E314EC">
        <w:tab/>
        <w:t xml:space="preserve">- </w:t>
      </w:r>
      <w:proofErr w:type="gramStart"/>
      <w:r w:rsidR="00491FE0" w:rsidRPr="00E314EC">
        <w:t>broj</w:t>
      </w:r>
      <w:proofErr w:type="gramEnd"/>
      <w:r w:rsidR="00491FE0" w:rsidRPr="00E314EC">
        <w:t xml:space="preserve"> vozila tipa k</w:t>
      </w:r>
      <w:r w:rsidRPr="00E314EC">
        <w:t xml:space="preserve"> </w:t>
      </w:r>
    </w:p>
    <w:p w:rsidR="006F17AE" w:rsidRPr="00E314EC" w:rsidRDefault="006F17AE" w:rsidP="006F17AE">
      <w:pPr>
        <w:autoSpaceDE w:val="0"/>
        <w:autoSpaceDN w:val="0"/>
        <w:adjustRightInd w:val="0"/>
      </w:pPr>
      <w:r w:rsidRPr="00E314EC">
        <w:t>Ck</w:t>
      </w:r>
      <w:r w:rsidRPr="00E314EC">
        <w:tab/>
        <w:t xml:space="preserve">- </w:t>
      </w:r>
      <w:r w:rsidR="00491FE0" w:rsidRPr="00E314EC">
        <w:t>troškovi nabavke vozila tipa k</w:t>
      </w:r>
    </w:p>
    <w:p w:rsidR="006F17AE" w:rsidRPr="00E314EC" w:rsidRDefault="006F17AE" w:rsidP="006F17AE">
      <w:pPr>
        <w:autoSpaceDE w:val="0"/>
        <w:autoSpaceDN w:val="0"/>
        <w:adjustRightInd w:val="0"/>
      </w:pPr>
      <w:r w:rsidRPr="00E314EC">
        <w:t>W</w:t>
      </w:r>
      <w:r w:rsidRPr="00E314EC">
        <w:tab/>
        <w:t xml:space="preserve">- </w:t>
      </w:r>
      <w:proofErr w:type="gramStart"/>
      <w:r w:rsidR="00491FE0" w:rsidRPr="00E314EC">
        <w:t>očekivano</w:t>
      </w:r>
      <w:proofErr w:type="gramEnd"/>
      <w:r w:rsidR="00491FE0" w:rsidRPr="00E314EC">
        <w:t xml:space="preserve"> vreme izvršenja usluge</w:t>
      </w:r>
    </w:p>
    <w:p w:rsidR="006F17AE" w:rsidRPr="00E314EC" w:rsidRDefault="006F17AE" w:rsidP="006F17AE">
      <w:pPr>
        <w:autoSpaceDE w:val="0"/>
        <w:autoSpaceDN w:val="0"/>
        <w:adjustRightInd w:val="0"/>
      </w:pPr>
      <w:proofErr w:type="gramStart"/>
      <w:r w:rsidRPr="00E314EC">
        <w:t>cj</w:t>
      </w:r>
      <w:proofErr w:type="gramEnd"/>
      <w:r w:rsidRPr="00E314EC">
        <w:tab/>
        <w:t xml:space="preserve">- </w:t>
      </w:r>
      <w:r w:rsidR="00491FE0" w:rsidRPr="00E314EC">
        <w:t>trošak neispunjavanja zahteva tipa j</w:t>
      </w:r>
      <w:r w:rsidRPr="00E314EC">
        <w:br/>
        <w:t>λj</w:t>
      </w:r>
      <w:r w:rsidRPr="00E314EC">
        <w:tab/>
        <w:t xml:space="preserve">- </w:t>
      </w:r>
      <w:r w:rsidR="00491FE0" w:rsidRPr="00E314EC">
        <w:t>broj zahteva za uslugu tipa j u toku dana</w:t>
      </w:r>
      <w:r w:rsidRPr="00E314EC">
        <w:t xml:space="preserve"> </w:t>
      </w:r>
    </w:p>
    <w:p w:rsidR="006F17AE" w:rsidRPr="00E314EC" w:rsidRDefault="006F17AE" w:rsidP="006F17AE">
      <w:pPr>
        <w:autoSpaceDE w:val="0"/>
        <w:autoSpaceDN w:val="0"/>
        <w:adjustRightInd w:val="0"/>
        <w:jc w:val="both"/>
      </w:pPr>
      <w:r w:rsidRPr="00E314EC">
        <w:t>d</w:t>
      </w:r>
      <w:r w:rsidR="00491FE0" w:rsidRPr="00E314EC">
        <w:tab/>
        <w:t xml:space="preserve">- </w:t>
      </w:r>
      <w:proofErr w:type="gramStart"/>
      <w:r w:rsidR="00491FE0" w:rsidRPr="00E314EC">
        <w:t>broj</w:t>
      </w:r>
      <w:proofErr w:type="gramEnd"/>
      <w:r w:rsidR="00491FE0" w:rsidRPr="00E314EC">
        <w:t xml:space="preserve"> dana u posmatranom periodu</w:t>
      </w:r>
    </w:p>
    <w:p w:rsidR="006F17AE" w:rsidRPr="00E314EC" w:rsidRDefault="006F17AE" w:rsidP="006F17AE"/>
    <w:p w:rsidR="00491FE0" w:rsidRPr="00E314EC" w:rsidRDefault="00491FE0" w:rsidP="006F17AE"/>
    <w:p w:rsidR="00A53C1D" w:rsidRPr="00E314EC" w:rsidRDefault="00A53C1D" w:rsidP="00A53C1D">
      <w:pPr>
        <w:jc w:val="both"/>
      </w:pPr>
      <w:r w:rsidRPr="00E314EC">
        <w:t>Međutim, iako ukupni broj vozila može da bude određen primenom teorije masovnog opsluživanja, korišćenjem izraza (1 – 4), process planiranja sastava voznog parka nije tako jednostavan u realnom životu, zbog sledećih razloga:</w:t>
      </w:r>
    </w:p>
    <w:p w:rsidR="00A53C1D" w:rsidRPr="00E314EC" w:rsidRDefault="00A53C1D" w:rsidP="00A53C1D">
      <w:pPr>
        <w:jc w:val="both"/>
      </w:pPr>
    </w:p>
    <w:p w:rsidR="00A53C1D" w:rsidRPr="00E314EC" w:rsidRDefault="00A53C1D" w:rsidP="00A53C1D">
      <w:pPr>
        <w:pStyle w:val="ListParagraph"/>
        <w:numPr>
          <w:ilvl w:val="0"/>
          <w:numId w:val="37"/>
        </w:numPr>
        <w:spacing w:after="200"/>
        <w:contextualSpacing/>
        <w:jc w:val="both"/>
        <w:rPr>
          <w:rFonts w:eastAsia="Times New Roman"/>
          <w:sz w:val="20"/>
          <w:szCs w:val="20"/>
          <w:lang w:eastAsia="ar-SA"/>
        </w:rPr>
      </w:pPr>
      <w:r w:rsidRPr="00E314EC">
        <w:rPr>
          <w:rFonts w:eastAsia="Times New Roman"/>
          <w:sz w:val="20"/>
          <w:szCs w:val="20"/>
          <w:lang w:eastAsia="ar-SA"/>
        </w:rPr>
        <w:t>Intenzitet zahteva za uslugama može da varira od godine do godine</w:t>
      </w:r>
    </w:p>
    <w:p w:rsidR="00A53C1D" w:rsidRPr="00E314EC" w:rsidRDefault="00A53C1D" w:rsidP="00A53C1D">
      <w:pPr>
        <w:pStyle w:val="ListParagraph"/>
        <w:numPr>
          <w:ilvl w:val="0"/>
          <w:numId w:val="37"/>
        </w:numPr>
        <w:spacing w:after="200"/>
        <w:contextualSpacing/>
        <w:jc w:val="both"/>
        <w:rPr>
          <w:rFonts w:eastAsia="Times New Roman"/>
          <w:sz w:val="20"/>
          <w:szCs w:val="20"/>
          <w:lang w:eastAsia="ar-SA"/>
        </w:rPr>
      </w:pPr>
      <w:r w:rsidRPr="00E314EC">
        <w:rPr>
          <w:rFonts w:eastAsia="Times New Roman"/>
          <w:sz w:val="20"/>
          <w:szCs w:val="20"/>
          <w:lang w:eastAsia="ar-SA"/>
        </w:rPr>
        <w:t>Raspodela između usluga je takođe varijabilna</w:t>
      </w:r>
    </w:p>
    <w:p w:rsidR="00A53C1D" w:rsidRPr="00E314EC" w:rsidRDefault="00A53C1D" w:rsidP="00A53C1D">
      <w:pPr>
        <w:pStyle w:val="ListParagraph"/>
        <w:numPr>
          <w:ilvl w:val="0"/>
          <w:numId w:val="37"/>
        </w:numPr>
        <w:spacing w:after="200"/>
        <w:contextualSpacing/>
        <w:jc w:val="both"/>
        <w:rPr>
          <w:rFonts w:eastAsia="Times New Roman"/>
          <w:sz w:val="20"/>
          <w:szCs w:val="20"/>
          <w:lang w:eastAsia="ar-SA"/>
        </w:rPr>
      </w:pPr>
      <w:r w:rsidRPr="00E314EC">
        <w:rPr>
          <w:rFonts w:eastAsia="Times New Roman"/>
          <w:sz w:val="20"/>
          <w:szCs w:val="20"/>
          <w:lang w:eastAsia="ar-SA"/>
        </w:rPr>
        <w:t>Troškovi ne mogu da budu određeni samo na osnovu jednog kriterijuma</w:t>
      </w:r>
    </w:p>
    <w:p w:rsidR="00A53C1D" w:rsidRPr="00E314EC" w:rsidRDefault="001C322D" w:rsidP="00A53C1D">
      <w:pPr>
        <w:pStyle w:val="ListParagraph"/>
        <w:numPr>
          <w:ilvl w:val="0"/>
          <w:numId w:val="37"/>
        </w:numPr>
        <w:spacing w:after="200"/>
        <w:contextualSpacing/>
        <w:jc w:val="both"/>
        <w:rPr>
          <w:rFonts w:eastAsia="Times New Roman"/>
          <w:sz w:val="20"/>
          <w:szCs w:val="20"/>
          <w:lang w:eastAsia="ar-SA"/>
        </w:rPr>
      </w:pPr>
      <w:r w:rsidRPr="00E314EC">
        <w:rPr>
          <w:rFonts w:eastAsia="Times New Roman"/>
          <w:sz w:val="20"/>
          <w:szCs w:val="20"/>
          <w:lang w:eastAsia="ar-SA"/>
        </w:rPr>
        <w:t>Postoje i određena ograničenja, kao što je postojanje stanica za punjenje električnih vozila</w:t>
      </w:r>
    </w:p>
    <w:p w:rsidR="00A53C1D" w:rsidRPr="00E314EC" w:rsidRDefault="00A53C1D" w:rsidP="006F17AE"/>
    <w:p w:rsidR="00491FE0" w:rsidRPr="00E314EC" w:rsidRDefault="001C322D" w:rsidP="001C322D">
      <w:pPr>
        <w:autoSpaceDE w:val="0"/>
        <w:autoSpaceDN w:val="0"/>
        <w:adjustRightInd w:val="0"/>
        <w:jc w:val="both"/>
      </w:pPr>
      <w:r w:rsidRPr="00E314EC">
        <w:t>Zbog svega navedenog, p</w:t>
      </w:r>
      <w:r w:rsidR="00491FE0" w:rsidRPr="00E314EC">
        <w:t xml:space="preserve">roces određivanja optimalnog sastava voznog parka biće tretiran kao višekriterijumski problem, </w:t>
      </w:r>
      <w:proofErr w:type="gramStart"/>
      <w:r w:rsidR="00491FE0" w:rsidRPr="00E314EC">
        <w:t>sa</w:t>
      </w:r>
      <w:proofErr w:type="gramEnd"/>
      <w:r w:rsidR="00491FE0" w:rsidRPr="00E314EC">
        <w:t xml:space="preserve"> sledećim kriterijumima:</w:t>
      </w:r>
    </w:p>
    <w:p w:rsidR="00491FE0" w:rsidRPr="00E314EC" w:rsidRDefault="00491FE0" w:rsidP="00DE2FF2">
      <w:pPr>
        <w:autoSpaceDE w:val="0"/>
        <w:autoSpaceDN w:val="0"/>
        <w:adjustRightInd w:val="0"/>
      </w:pPr>
    </w:p>
    <w:p w:rsidR="00491FE0" w:rsidRPr="00E314EC" w:rsidRDefault="00491FE0" w:rsidP="00DE2FF2">
      <w:pPr>
        <w:pStyle w:val="ListParagraph"/>
        <w:numPr>
          <w:ilvl w:val="0"/>
          <w:numId w:val="36"/>
        </w:numPr>
        <w:autoSpaceDE w:val="0"/>
        <w:autoSpaceDN w:val="0"/>
        <w:adjustRightInd w:val="0"/>
        <w:rPr>
          <w:rFonts w:eastAsia="Times New Roman"/>
          <w:sz w:val="20"/>
          <w:szCs w:val="20"/>
          <w:lang w:eastAsia="ar-SA"/>
        </w:rPr>
      </w:pPr>
      <w:r w:rsidRPr="00E314EC">
        <w:rPr>
          <w:rFonts w:eastAsia="Times New Roman"/>
          <w:sz w:val="20"/>
          <w:szCs w:val="20"/>
          <w:lang w:eastAsia="ar-SA"/>
        </w:rPr>
        <w:t>Ukupni troškovi nabavke, goriva i održavanja</w:t>
      </w:r>
    </w:p>
    <w:p w:rsidR="00491FE0" w:rsidRPr="00E314EC" w:rsidRDefault="00491FE0" w:rsidP="00DE2FF2">
      <w:pPr>
        <w:pStyle w:val="ListParagraph"/>
        <w:numPr>
          <w:ilvl w:val="0"/>
          <w:numId w:val="36"/>
        </w:numPr>
        <w:autoSpaceDE w:val="0"/>
        <w:autoSpaceDN w:val="0"/>
        <w:adjustRightInd w:val="0"/>
        <w:rPr>
          <w:rFonts w:eastAsia="Times New Roman"/>
          <w:sz w:val="20"/>
          <w:szCs w:val="20"/>
          <w:lang w:eastAsia="ar-SA"/>
        </w:rPr>
      </w:pPr>
      <w:r w:rsidRPr="00E314EC">
        <w:rPr>
          <w:rFonts w:eastAsia="Times New Roman"/>
          <w:sz w:val="20"/>
          <w:szCs w:val="20"/>
          <w:lang w:eastAsia="ar-SA"/>
        </w:rPr>
        <w:t>Emisija CO</w:t>
      </w:r>
      <w:r w:rsidRPr="00E314EC">
        <w:rPr>
          <w:rFonts w:eastAsia="Times New Roman"/>
          <w:sz w:val="20"/>
          <w:szCs w:val="20"/>
          <w:vertAlign w:val="subscript"/>
          <w:lang w:eastAsia="ar-SA"/>
        </w:rPr>
        <w:t>2</w:t>
      </w:r>
    </w:p>
    <w:p w:rsidR="00491FE0" w:rsidRPr="00E314EC" w:rsidRDefault="00DE2FF2" w:rsidP="00DE2FF2">
      <w:pPr>
        <w:pStyle w:val="ListParagraph"/>
        <w:numPr>
          <w:ilvl w:val="0"/>
          <w:numId w:val="36"/>
        </w:numPr>
        <w:autoSpaceDE w:val="0"/>
        <w:autoSpaceDN w:val="0"/>
        <w:adjustRightInd w:val="0"/>
        <w:rPr>
          <w:rFonts w:eastAsia="Times New Roman"/>
          <w:sz w:val="20"/>
          <w:szCs w:val="20"/>
          <w:lang w:eastAsia="ar-SA"/>
        </w:rPr>
      </w:pPr>
      <w:r w:rsidRPr="00E314EC">
        <w:rPr>
          <w:rFonts w:eastAsia="Times New Roman"/>
          <w:sz w:val="20"/>
          <w:szCs w:val="20"/>
          <w:lang w:eastAsia="ar-SA"/>
        </w:rPr>
        <w:t>Mogućnost za korišćenje skladištene energije</w:t>
      </w:r>
    </w:p>
    <w:p w:rsidR="00491FE0" w:rsidRPr="00E314EC" w:rsidRDefault="00491FE0" w:rsidP="00DE2FF2">
      <w:pPr>
        <w:autoSpaceDE w:val="0"/>
        <w:autoSpaceDN w:val="0"/>
        <w:adjustRightInd w:val="0"/>
      </w:pPr>
    </w:p>
    <w:p w:rsidR="001C322D" w:rsidRPr="00E314EC" w:rsidRDefault="001C322D" w:rsidP="00DE2FF2">
      <w:pPr>
        <w:autoSpaceDE w:val="0"/>
        <w:autoSpaceDN w:val="0"/>
        <w:adjustRightInd w:val="0"/>
      </w:pPr>
    </w:p>
    <w:p w:rsidR="00491FE0" w:rsidRPr="00E314EC" w:rsidRDefault="00491FE0" w:rsidP="00DE2FF2">
      <w:pPr>
        <w:autoSpaceDE w:val="0"/>
        <w:autoSpaceDN w:val="0"/>
        <w:adjustRightInd w:val="0"/>
      </w:pPr>
    </w:p>
    <w:p w:rsidR="001C322D" w:rsidRPr="00E314EC" w:rsidRDefault="001C322D" w:rsidP="00DE2FF2">
      <w:pPr>
        <w:autoSpaceDE w:val="0"/>
        <w:autoSpaceDN w:val="0"/>
        <w:adjustRightInd w:val="0"/>
      </w:pPr>
    </w:p>
    <w:p w:rsidR="001C322D" w:rsidRPr="00E314EC" w:rsidRDefault="001C322D" w:rsidP="00E314EC">
      <w:pPr>
        <w:pStyle w:val="ListParagraph"/>
        <w:numPr>
          <w:ilvl w:val="0"/>
          <w:numId w:val="38"/>
        </w:numPr>
        <w:autoSpaceDE w:val="0"/>
        <w:autoSpaceDN w:val="0"/>
        <w:adjustRightInd w:val="0"/>
        <w:rPr>
          <w:b/>
        </w:rPr>
      </w:pPr>
      <w:r w:rsidRPr="00E314EC">
        <w:rPr>
          <w:b/>
        </w:rPr>
        <w:t>VIŠEKRITERIJUMSKA OPTIMIZACIJA</w:t>
      </w:r>
    </w:p>
    <w:p w:rsidR="001C322D" w:rsidRPr="00E314EC" w:rsidRDefault="001C322D" w:rsidP="00DE2FF2">
      <w:pPr>
        <w:autoSpaceDE w:val="0"/>
        <w:autoSpaceDN w:val="0"/>
        <w:adjustRightInd w:val="0"/>
      </w:pPr>
    </w:p>
    <w:p w:rsidR="001C322D" w:rsidRPr="00E314EC" w:rsidRDefault="001C322D" w:rsidP="00DE2FF2">
      <w:pPr>
        <w:autoSpaceDE w:val="0"/>
        <w:autoSpaceDN w:val="0"/>
        <w:adjustRightInd w:val="0"/>
      </w:pPr>
    </w:p>
    <w:p w:rsidR="006F17AE" w:rsidRPr="00E314EC" w:rsidRDefault="006F17AE" w:rsidP="001C322D">
      <w:pPr>
        <w:jc w:val="both"/>
      </w:pPr>
      <w:r w:rsidRPr="00E314EC">
        <w:t>Metodologija</w:t>
      </w:r>
      <w:r w:rsidR="001C322D" w:rsidRPr="00E314EC">
        <w:t xml:space="preserve"> višekriterijumske analize biće ilustrovana </w:t>
      </w:r>
      <w:proofErr w:type="gramStart"/>
      <w:r w:rsidR="001C322D" w:rsidRPr="00E314EC">
        <w:t>na</w:t>
      </w:r>
      <w:proofErr w:type="gramEnd"/>
      <w:r w:rsidR="001C322D" w:rsidRPr="00E314EC">
        <w:t xml:space="preserve"> primeru </w:t>
      </w:r>
      <w:r w:rsidRPr="00E314EC">
        <w:t>elektrodistributivn</w:t>
      </w:r>
      <w:r w:rsidR="001C322D" w:rsidRPr="00E314EC">
        <w:t>e</w:t>
      </w:r>
      <w:r w:rsidRPr="00E314EC">
        <w:t xml:space="preserve"> kompanij</w:t>
      </w:r>
      <w:r w:rsidR="001C322D" w:rsidRPr="00E314EC">
        <w:t xml:space="preserve">e srednje veličine </w:t>
      </w:r>
      <w:r w:rsidRPr="00E314EC">
        <w:t xml:space="preserve">sa oko 50 000 potrošača. Za ovu kompaniju, dve vrste </w:t>
      </w:r>
      <w:r w:rsidR="001C322D" w:rsidRPr="00E314EC">
        <w:t>vozila</w:t>
      </w:r>
      <w:r w:rsidRPr="00E314EC">
        <w:t xml:space="preserve"> uzimaju se u </w:t>
      </w:r>
      <w:r w:rsidR="001C322D" w:rsidRPr="00E314EC">
        <w:t>razmatranje</w:t>
      </w:r>
      <w:r w:rsidRPr="00E314EC">
        <w:t>:</w:t>
      </w:r>
    </w:p>
    <w:p w:rsidR="006F17AE" w:rsidRPr="00E314EC" w:rsidRDefault="006F17AE" w:rsidP="006F17AE"/>
    <w:p w:rsidR="006F17AE" w:rsidRPr="00E314EC" w:rsidRDefault="00E7201B" w:rsidP="00E7201B">
      <w:pPr>
        <w:jc w:val="both"/>
      </w:pPr>
      <w:r w:rsidRPr="00E314EC">
        <w:t>(a</w:t>
      </w:r>
      <w:r w:rsidR="006F17AE" w:rsidRPr="00E314EC">
        <w:t xml:space="preserve">) </w:t>
      </w:r>
      <w:r w:rsidRPr="00E314EC">
        <w:t>Automobili na b</w:t>
      </w:r>
      <w:r w:rsidR="006F17AE" w:rsidRPr="00E314EC">
        <w:t xml:space="preserve">enzin, sa </w:t>
      </w:r>
      <w:r w:rsidRPr="00E314EC">
        <w:t xml:space="preserve">emisijom od </w:t>
      </w:r>
      <w:r w:rsidR="006F17AE" w:rsidRPr="00E314EC">
        <w:t xml:space="preserve">260 g / km </w:t>
      </w:r>
      <w:proofErr w:type="gramStart"/>
      <w:r w:rsidR="006F17AE" w:rsidRPr="00E314EC">
        <w:t>CO</w:t>
      </w:r>
      <w:r w:rsidR="006F17AE" w:rsidRPr="00E314EC">
        <w:rPr>
          <w:vertAlign w:val="subscript"/>
        </w:rPr>
        <w:t>2</w:t>
      </w:r>
      <w:r w:rsidR="006F17AE" w:rsidRPr="00E314EC">
        <w:t xml:space="preserve"> .</w:t>
      </w:r>
      <w:proofErr w:type="gramEnd"/>
      <w:r w:rsidR="006F17AE" w:rsidRPr="00E314EC">
        <w:t xml:space="preserve"> Troškovi ovog vozila </w:t>
      </w:r>
      <w:r w:rsidRPr="00E314EC">
        <w:t>su</w:t>
      </w:r>
      <w:r w:rsidR="006F17AE" w:rsidRPr="00E314EC">
        <w:t xml:space="preserve"> 8000 </w:t>
      </w:r>
      <w:proofErr w:type="gramStart"/>
      <w:r w:rsidR="006F17AE" w:rsidRPr="00E314EC">
        <w:t>€ ,</w:t>
      </w:r>
      <w:proofErr w:type="gramEnd"/>
      <w:r w:rsidR="006F17AE" w:rsidRPr="00E314EC">
        <w:t xml:space="preserve"> a prosečna potrošnja od 7 l/100 km ( 10 € / 100km )</w:t>
      </w:r>
    </w:p>
    <w:p w:rsidR="006F17AE" w:rsidRPr="00E314EC" w:rsidRDefault="006F17AE" w:rsidP="006F17AE"/>
    <w:p w:rsidR="006F17AE" w:rsidRPr="00E314EC" w:rsidRDefault="006F17AE" w:rsidP="00E7201B">
      <w:pPr>
        <w:jc w:val="both"/>
      </w:pPr>
      <w:proofErr w:type="gramStart"/>
      <w:r w:rsidRPr="00E314EC">
        <w:t>b )</w:t>
      </w:r>
      <w:proofErr w:type="gramEnd"/>
      <w:r w:rsidRPr="00E314EC">
        <w:t xml:space="preserve"> </w:t>
      </w:r>
      <w:r w:rsidR="00E7201B" w:rsidRPr="00E314EC">
        <w:t xml:space="preserve">Lako </w:t>
      </w:r>
      <w:r w:rsidRPr="00E314EC">
        <w:t>električno vozilo sa litijum baterijama, sa 70 g / km CO</w:t>
      </w:r>
      <w:r w:rsidRPr="00E314EC">
        <w:rPr>
          <w:vertAlign w:val="subscript"/>
        </w:rPr>
        <w:t>2</w:t>
      </w:r>
      <w:r w:rsidRPr="00E314EC">
        <w:t xml:space="preserve"> , nabavna cena </w:t>
      </w:r>
      <w:r w:rsidR="00E7201B" w:rsidRPr="00E314EC">
        <w:t xml:space="preserve">od </w:t>
      </w:r>
      <w:r w:rsidRPr="00E314EC">
        <w:t xml:space="preserve">13 600 € . </w:t>
      </w:r>
      <w:r w:rsidR="00E7201B" w:rsidRPr="00E314EC">
        <w:t>Operativni t</w:t>
      </w:r>
      <w:r w:rsidRPr="00E314EC">
        <w:t>roškovi su 22 k</w:t>
      </w:r>
      <w:r w:rsidR="00E7201B" w:rsidRPr="00E314EC">
        <w:t>W</w:t>
      </w:r>
      <w:r w:rsidRPr="00E314EC">
        <w:t xml:space="preserve">h/100 km </w:t>
      </w:r>
      <w:proofErr w:type="gramStart"/>
      <w:r w:rsidRPr="00E314EC">
        <w:t>( 1</w:t>
      </w:r>
      <w:proofErr w:type="gramEnd"/>
      <w:r w:rsidRPr="00E314EC">
        <w:t xml:space="preserve"> € / 100km sa prosečnom </w:t>
      </w:r>
      <w:r w:rsidR="00E7201B" w:rsidRPr="00E314EC">
        <w:t xml:space="preserve">cenom </w:t>
      </w:r>
      <w:r w:rsidRPr="00E314EC">
        <w:t xml:space="preserve">električne </w:t>
      </w:r>
      <w:r w:rsidR="00E7201B" w:rsidRPr="00E314EC">
        <w:t>energije</w:t>
      </w:r>
      <w:r w:rsidRPr="00E314EC">
        <w:t xml:space="preserve"> od 0,05 € / k</w:t>
      </w:r>
      <w:r w:rsidR="00E7201B" w:rsidRPr="00E314EC">
        <w:t>W</w:t>
      </w:r>
      <w:r w:rsidRPr="00E314EC">
        <w:t>h )</w:t>
      </w:r>
    </w:p>
    <w:p w:rsidR="006F17AE" w:rsidRPr="00E314EC" w:rsidRDefault="006F17AE" w:rsidP="006F17AE"/>
    <w:p w:rsidR="006F17AE" w:rsidRPr="00E314EC" w:rsidRDefault="006F17AE" w:rsidP="006F17AE">
      <w:r w:rsidRPr="00E314EC">
        <w:t>Ulazni podaci uzeti iz godišnjeg izveštaja ove kompanije su</w:t>
      </w:r>
      <w:r w:rsidR="00E7201B" w:rsidRPr="00E314EC">
        <w:t xml:space="preserve"> </w:t>
      </w:r>
      <w:r w:rsidRPr="00E314EC">
        <w:t>sledeć</w:t>
      </w:r>
      <w:r w:rsidR="00E7201B" w:rsidRPr="00E314EC">
        <w:t>i</w:t>
      </w:r>
      <w:r w:rsidRPr="00E314EC">
        <w:t>:</w:t>
      </w:r>
    </w:p>
    <w:p w:rsidR="00E7201B" w:rsidRPr="00E314EC" w:rsidRDefault="00E7201B" w:rsidP="006F17AE"/>
    <w:p w:rsidR="00E7201B" w:rsidRPr="00E314EC" w:rsidRDefault="006F17AE" w:rsidP="006F17AE">
      <w:proofErr w:type="gramStart"/>
      <w:r w:rsidRPr="00E314EC">
        <w:t>λj</w:t>
      </w:r>
      <w:proofErr w:type="gramEnd"/>
      <w:r w:rsidRPr="00E314EC">
        <w:t xml:space="preserve"> = 9 zahtev</w:t>
      </w:r>
      <w:r w:rsidR="00E7201B" w:rsidRPr="00E314EC">
        <w:t>a</w:t>
      </w:r>
      <w:r w:rsidRPr="00E314EC">
        <w:t xml:space="preserve"> / dan , </w:t>
      </w:r>
    </w:p>
    <w:p w:rsidR="00E7201B" w:rsidRPr="00E314EC" w:rsidRDefault="006F17AE" w:rsidP="006F17AE">
      <w:r w:rsidRPr="00E314EC">
        <w:t xml:space="preserve">μ = 2 usluge / </w:t>
      </w:r>
      <w:proofErr w:type="gramStart"/>
      <w:r w:rsidRPr="00E314EC">
        <w:t>dan .</w:t>
      </w:r>
      <w:proofErr w:type="gramEnd"/>
      <w:r w:rsidRPr="00E314EC">
        <w:t xml:space="preserve"> </w:t>
      </w:r>
    </w:p>
    <w:p w:rsidR="00E7201B" w:rsidRPr="00E314EC" w:rsidRDefault="00E7201B" w:rsidP="006F17AE"/>
    <w:p w:rsidR="00E7201B" w:rsidRPr="00E314EC" w:rsidRDefault="00E7201B" w:rsidP="00E7201B">
      <w:pPr>
        <w:jc w:val="both"/>
      </w:pPr>
      <w:r w:rsidRPr="00E314EC">
        <w:t>Pretpostavljena c</w:t>
      </w:r>
      <w:r w:rsidR="006F17AE" w:rsidRPr="00E314EC">
        <w:t xml:space="preserve">ena </w:t>
      </w:r>
      <w:r w:rsidRPr="00E314EC">
        <w:t xml:space="preserve">naknade </w:t>
      </w:r>
      <w:r w:rsidR="006F17AE" w:rsidRPr="00E314EC">
        <w:t xml:space="preserve">je c = 25 € po svakom </w:t>
      </w:r>
      <w:proofErr w:type="gramStart"/>
      <w:r w:rsidR="006F17AE" w:rsidRPr="00E314EC">
        <w:t>danu</w:t>
      </w:r>
      <w:proofErr w:type="gramEnd"/>
      <w:r w:rsidR="006F17AE" w:rsidRPr="00E314EC">
        <w:t xml:space="preserve"> preko 2 dana čekanja na </w:t>
      </w:r>
      <w:r w:rsidRPr="00E314EC">
        <w:t>uslugu</w:t>
      </w:r>
      <w:r w:rsidR="006F17AE" w:rsidRPr="00E314EC">
        <w:t xml:space="preserve">. </w:t>
      </w:r>
    </w:p>
    <w:p w:rsidR="006F17AE" w:rsidRPr="00E314EC" w:rsidRDefault="006F17AE" w:rsidP="00E7201B">
      <w:pPr>
        <w:jc w:val="both"/>
      </w:pPr>
      <w:r w:rsidRPr="00E314EC">
        <w:t xml:space="preserve">Prosečna kilometraža </w:t>
      </w:r>
      <w:r w:rsidR="00E7201B" w:rsidRPr="00E314EC">
        <w:t xml:space="preserve">po </w:t>
      </w:r>
      <w:r w:rsidRPr="00E314EC">
        <w:t>vozil</w:t>
      </w:r>
      <w:r w:rsidR="00E7201B" w:rsidRPr="00E314EC">
        <w:t>u</w:t>
      </w:r>
      <w:r w:rsidRPr="00E314EC">
        <w:t xml:space="preserve"> je 20 000km </w:t>
      </w:r>
      <w:proofErr w:type="gramStart"/>
      <w:r w:rsidRPr="00E314EC">
        <w:t>godišnje .</w:t>
      </w:r>
      <w:proofErr w:type="gramEnd"/>
    </w:p>
    <w:p w:rsidR="00E7201B" w:rsidRPr="00E314EC" w:rsidRDefault="00E7201B" w:rsidP="006F17AE"/>
    <w:p w:rsidR="006F17AE" w:rsidRPr="00E314EC" w:rsidRDefault="00E7201B" w:rsidP="00E7201B">
      <w:pPr>
        <w:jc w:val="both"/>
      </w:pPr>
      <w:r w:rsidRPr="00E314EC">
        <w:t xml:space="preserve">Primenom </w:t>
      </w:r>
      <w:r w:rsidR="006F17AE" w:rsidRPr="00E314EC">
        <w:t>jednačine (</w:t>
      </w:r>
      <w:r w:rsidRPr="00E314EC">
        <w:t>4</w:t>
      </w:r>
      <w:r w:rsidR="006F17AE" w:rsidRPr="00E314EC">
        <w:t>),</w:t>
      </w:r>
      <w:r w:rsidRPr="00E314EC">
        <w:t xml:space="preserve"> </w:t>
      </w:r>
      <w:r w:rsidR="006F17AE" w:rsidRPr="00E314EC">
        <w:t xml:space="preserve">ukupan dobijeni broj vozila je 9, a u tabeli </w:t>
      </w:r>
      <w:r w:rsidRPr="00E314EC">
        <w:t>2</w:t>
      </w:r>
      <w:r w:rsidR="006F17AE" w:rsidRPr="00E314EC">
        <w:t>, različite kombinacije električnih i konvencionalnih vozila su predstavljen</w:t>
      </w:r>
      <w:r w:rsidRPr="00E314EC">
        <w:t>e</w:t>
      </w:r>
      <w:r w:rsidR="006F17AE" w:rsidRPr="00E314EC">
        <w:t xml:space="preserve"> sa sledećim O</w:t>
      </w:r>
      <w:r w:rsidRPr="00E314EC">
        <w:t>W</w:t>
      </w:r>
      <w:r w:rsidR="006F17AE" w:rsidRPr="00E314EC">
        <w:t>A vrednostima [ 0,5 0,3 0,2 ] .</w:t>
      </w:r>
    </w:p>
    <w:p w:rsidR="006F17AE" w:rsidRPr="00E314EC" w:rsidRDefault="00E7201B" w:rsidP="00E7201B">
      <w:pPr>
        <w:jc w:val="both"/>
      </w:pPr>
      <w:r w:rsidRPr="00E314EC">
        <w:t>B</w:t>
      </w:r>
      <w:r w:rsidR="006F17AE" w:rsidRPr="00E314EC">
        <w:t xml:space="preserve">roj električnih </w:t>
      </w:r>
      <w:proofErr w:type="gramStart"/>
      <w:r w:rsidR="006F17AE" w:rsidRPr="00E314EC">
        <w:t>( EK</w:t>
      </w:r>
      <w:proofErr w:type="gramEnd"/>
      <w:r w:rsidR="006F17AE" w:rsidRPr="00E314EC">
        <w:t xml:space="preserve"> ) i konvencionalnih vozila (GP) </w:t>
      </w:r>
      <w:r w:rsidRPr="00E314EC">
        <w:t xml:space="preserve">je </w:t>
      </w:r>
      <w:r w:rsidR="006F17AE" w:rsidRPr="00E314EC">
        <w:t>prikazan</w:t>
      </w:r>
      <w:r w:rsidRPr="00E314EC">
        <w:t xml:space="preserve"> u prve dve kolone</w:t>
      </w:r>
      <w:r w:rsidR="006F17AE" w:rsidRPr="00E314EC">
        <w:t>, respektivno. U trećoj koloni,</w:t>
      </w:r>
      <w:r w:rsidRPr="00E314EC">
        <w:t xml:space="preserve"> izračunata je </w:t>
      </w:r>
      <w:r w:rsidR="006F17AE" w:rsidRPr="00E314EC">
        <w:t>ukupna emisija u kilotona</w:t>
      </w:r>
      <w:r w:rsidRPr="00E314EC">
        <w:t>ma</w:t>
      </w:r>
      <w:r w:rsidR="006F17AE" w:rsidRPr="00E314EC">
        <w:t xml:space="preserve">, sa njihovim relativnim vrednostima </w:t>
      </w:r>
      <w:proofErr w:type="gramStart"/>
      <w:r w:rsidR="006F17AE" w:rsidRPr="00E314EC">
        <w:t>( μ1</w:t>
      </w:r>
      <w:proofErr w:type="gramEnd"/>
      <w:r w:rsidR="006F17AE" w:rsidRPr="00E314EC">
        <w:t xml:space="preserve"> ) u četvrtoj koloni. U petoj koloni , ukupni godišnji troškovi automobila </w:t>
      </w:r>
      <w:r w:rsidRPr="00E314EC">
        <w:t xml:space="preserve">na </w:t>
      </w:r>
      <w:r w:rsidR="006F17AE" w:rsidRPr="00E314EC">
        <w:t xml:space="preserve">lizing, goriva i električne energije ( Ctot ) se računaju , sa relativnim vrednostima ( μ2 ). Konačno, relativne vrednosti mogućnosti podrške mreže su prikazane u poslednjoj </w:t>
      </w:r>
      <w:r w:rsidR="006F17AE" w:rsidRPr="00E314EC">
        <w:lastRenderedPageBreak/>
        <w:t xml:space="preserve">koloni </w:t>
      </w:r>
      <w:proofErr w:type="gramStart"/>
      <w:r w:rsidR="006F17AE" w:rsidRPr="00E314EC">
        <w:t>( μ3</w:t>
      </w:r>
      <w:proofErr w:type="gramEnd"/>
      <w:r w:rsidR="006F17AE" w:rsidRPr="00E314EC">
        <w:t xml:space="preserve"> ). Obračun egzaktnih prihoda je van opsega ovog rada, </w:t>
      </w:r>
      <w:proofErr w:type="gramStart"/>
      <w:r w:rsidR="006F17AE" w:rsidRPr="00E314EC">
        <w:t>ali</w:t>
      </w:r>
      <w:proofErr w:type="gramEnd"/>
      <w:r w:rsidRPr="00E314EC">
        <w:t xml:space="preserve"> </w:t>
      </w:r>
      <w:r w:rsidR="006F17AE" w:rsidRPr="00E314EC">
        <w:t xml:space="preserve">vredi pomenuti da </w:t>
      </w:r>
      <w:r w:rsidRPr="00E314EC">
        <w:t>s</w:t>
      </w:r>
      <w:r w:rsidR="006F17AE" w:rsidRPr="00E314EC">
        <w:t>e mogućnost da se poveže više vozila na mrežu postepeno smanjuje zbog tehničkih ograničenja</w:t>
      </w:r>
    </w:p>
    <w:p w:rsidR="006F17AE" w:rsidRDefault="006F17AE" w:rsidP="00E7201B">
      <w:pPr>
        <w:jc w:val="both"/>
      </w:pPr>
    </w:p>
    <w:p w:rsidR="00E314EC" w:rsidRPr="00E314EC" w:rsidRDefault="00E314EC" w:rsidP="00E7201B">
      <w:pPr>
        <w:jc w:val="both"/>
        <w:rPr>
          <w:lang/>
        </w:rPr>
      </w:pPr>
      <w:proofErr w:type="gramStart"/>
      <w:r>
        <w:t>Tabela 2.</w:t>
      </w:r>
      <w:proofErr w:type="gramEnd"/>
      <w:r>
        <w:t xml:space="preserve"> Vrednosti parametera za različite kombinacije sastava vozila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131"/>
        <w:gridCol w:w="1332"/>
        <w:gridCol w:w="1332"/>
        <w:gridCol w:w="1701"/>
        <w:gridCol w:w="1332"/>
        <w:gridCol w:w="1326"/>
      </w:tblGrid>
      <w:tr w:rsidR="006F17AE" w:rsidRPr="00E314EC" w:rsidTr="00E314EC">
        <w:trPr>
          <w:trHeight w:val="300"/>
        </w:trPr>
        <w:tc>
          <w:tcPr>
            <w:tcW w:w="610" w:type="pct"/>
            <w:shd w:val="clear" w:color="auto" w:fill="auto"/>
            <w:noWrap/>
            <w:vAlign w:val="bottom"/>
            <w:hideMark/>
          </w:tcPr>
          <w:p w:rsidR="006F17AE" w:rsidRPr="00E314EC" w:rsidRDefault="006F17AE" w:rsidP="00FF03C8">
            <w:pPr>
              <w:jc w:val="center"/>
            </w:pPr>
            <w:r w:rsidRPr="00E314EC">
              <w:t>EC</w:t>
            </w:r>
          </w:p>
          <w:p w:rsidR="006F17AE" w:rsidRPr="00E314EC" w:rsidRDefault="006F17AE" w:rsidP="00FF03C8">
            <w:pPr>
              <w:jc w:val="center"/>
            </w:pPr>
          </w:p>
        </w:tc>
        <w:tc>
          <w:tcPr>
            <w:tcW w:w="609" w:type="pct"/>
            <w:shd w:val="clear" w:color="auto" w:fill="auto"/>
            <w:noWrap/>
            <w:vAlign w:val="bottom"/>
            <w:hideMark/>
          </w:tcPr>
          <w:p w:rsidR="006F17AE" w:rsidRPr="00E314EC" w:rsidRDefault="006F17AE" w:rsidP="00FF03C8">
            <w:pPr>
              <w:jc w:val="center"/>
            </w:pPr>
            <w:r w:rsidRPr="00E314EC">
              <w:t>GP</w:t>
            </w:r>
          </w:p>
          <w:p w:rsidR="006F17AE" w:rsidRPr="00E314EC" w:rsidRDefault="006F17AE" w:rsidP="00FF03C8">
            <w:pPr>
              <w:jc w:val="center"/>
            </w:pPr>
          </w:p>
        </w:tc>
        <w:tc>
          <w:tcPr>
            <w:tcW w:w="717" w:type="pct"/>
            <w:shd w:val="clear" w:color="auto" w:fill="auto"/>
            <w:noWrap/>
            <w:vAlign w:val="bottom"/>
            <w:hideMark/>
          </w:tcPr>
          <w:p w:rsidR="006F17AE" w:rsidRPr="00E314EC" w:rsidRDefault="006F17AE" w:rsidP="00FF03C8">
            <w:pPr>
              <w:jc w:val="center"/>
            </w:pPr>
            <w:r w:rsidRPr="00E314EC">
              <w:t>CO2</w:t>
            </w:r>
          </w:p>
          <w:p w:rsidR="006F17AE" w:rsidRPr="00E314EC" w:rsidRDefault="006F17AE" w:rsidP="00FF03C8">
            <w:pPr>
              <w:jc w:val="center"/>
            </w:pPr>
            <w:r w:rsidRPr="00E314EC">
              <w:t>(kt)</w:t>
            </w:r>
          </w:p>
        </w:tc>
        <w:tc>
          <w:tcPr>
            <w:tcW w:w="717" w:type="pct"/>
            <w:shd w:val="clear" w:color="auto" w:fill="auto"/>
            <w:noWrap/>
            <w:vAlign w:val="bottom"/>
            <w:hideMark/>
          </w:tcPr>
          <w:p w:rsidR="006F17AE" w:rsidRPr="00E314EC" w:rsidRDefault="006F17AE" w:rsidP="00FF03C8">
            <w:pPr>
              <w:jc w:val="center"/>
            </w:pPr>
          </w:p>
          <w:p w:rsidR="006F17AE" w:rsidRPr="00E314EC" w:rsidRDefault="006F17AE" w:rsidP="00FF03C8">
            <w:pPr>
              <w:jc w:val="center"/>
            </w:pPr>
            <w:r w:rsidRPr="00E314EC">
              <w:t>μ 1</w:t>
            </w:r>
          </w:p>
          <w:p w:rsidR="006F17AE" w:rsidRPr="00E314EC" w:rsidRDefault="006F17AE" w:rsidP="00FF03C8">
            <w:pPr>
              <w:jc w:val="center"/>
            </w:pPr>
          </w:p>
        </w:tc>
        <w:tc>
          <w:tcPr>
            <w:tcW w:w="916" w:type="pct"/>
            <w:shd w:val="clear" w:color="auto" w:fill="auto"/>
            <w:noWrap/>
            <w:vAlign w:val="bottom"/>
            <w:hideMark/>
          </w:tcPr>
          <w:p w:rsidR="006F17AE" w:rsidRPr="00E314EC" w:rsidRDefault="006F17AE" w:rsidP="00FF03C8">
            <w:pPr>
              <w:jc w:val="center"/>
            </w:pPr>
            <w:r w:rsidRPr="00E314EC">
              <w:t>Ctot</w:t>
            </w:r>
          </w:p>
          <w:p w:rsidR="006F17AE" w:rsidRPr="00E314EC" w:rsidRDefault="006F17AE" w:rsidP="00FF03C8">
            <w:pPr>
              <w:jc w:val="center"/>
            </w:pPr>
            <w:r w:rsidRPr="00E314EC">
              <w:t>(€)</w:t>
            </w:r>
          </w:p>
        </w:tc>
        <w:tc>
          <w:tcPr>
            <w:tcW w:w="717" w:type="pct"/>
            <w:shd w:val="clear" w:color="auto" w:fill="auto"/>
            <w:noWrap/>
            <w:vAlign w:val="bottom"/>
            <w:hideMark/>
          </w:tcPr>
          <w:p w:rsidR="006F17AE" w:rsidRPr="00E314EC" w:rsidRDefault="006F17AE" w:rsidP="00FF03C8">
            <w:pPr>
              <w:jc w:val="center"/>
            </w:pPr>
            <w:r w:rsidRPr="00E314EC">
              <w:t>μ 2</w:t>
            </w:r>
          </w:p>
          <w:p w:rsidR="006F17AE" w:rsidRPr="00E314EC" w:rsidRDefault="006F17AE" w:rsidP="00FF03C8">
            <w:pPr>
              <w:jc w:val="center"/>
            </w:pPr>
          </w:p>
        </w:tc>
        <w:tc>
          <w:tcPr>
            <w:tcW w:w="714" w:type="pct"/>
          </w:tcPr>
          <w:p w:rsidR="006F17AE" w:rsidRPr="00E314EC" w:rsidRDefault="006F17AE" w:rsidP="00FF03C8">
            <w:pPr>
              <w:jc w:val="center"/>
            </w:pPr>
          </w:p>
          <w:p w:rsidR="006F17AE" w:rsidRPr="00E314EC" w:rsidRDefault="006F17AE" w:rsidP="00FF03C8">
            <w:pPr>
              <w:jc w:val="center"/>
            </w:pPr>
            <w:r w:rsidRPr="00E314EC">
              <w:t>μ 3</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1</w:t>
            </w:r>
          </w:p>
        </w:tc>
        <w:tc>
          <w:tcPr>
            <w:tcW w:w="609" w:type="pct"/>
            <w:shd w:val="clear" w:color="auto" w:fill="auto"/>
            <w:noWrap/>
            <w:vAlign w:val="bottom"/>
            <w:hideMark/>
          </w:tcPr>
          <w:p w:rsidR="006F17AE" w:rsidRPr="00E314EC" w:rsidRDefault="006F17AE" w:rsidP="00FF03C8">
            <w:pPr>
              <w:jc w:val="right"/>
            </w:pPr>
            <w:r w:rsidRPr="00E314EC">
              <w:t>8</w:t>
            </w:r>
          </w:p>
        </w:tc>
        <w:tc>
          <w:tcPr>
            <w:tcW w:w="717" w:type="pct"/>
            <w:shd w:val="clear" w:color="auto" w:fill="auto"/>
            <w:noWrap/>
            <w:vAlign w:val="bottom"/>
            <w:hideMark/>
          </w:tcPr>
          <w:p w:rsidR="006F17AE" w:rsidRPr="00E314EC" w:rsidRDefault="006F17AE" w:rsidP="00FF03C8">
            <w:pPr>
              <w:jc w:val="right"/>
            </w:pPr>
            <w:r w:rsidRPr="00E314EC">
              <w:t>30,2</w:t>
            </w:r>
          </w:p>
        </w:tc>
        <w:tc>
          <w:tcPr>
            <w:tcW w:w="717" w:type="pct"/>
            <w:shd w:val="clear" w:color="auto" w:fill="auto"/>
            <w:noWrap/>
            <w:vAlign w:val="bottom"/>
            <w:hideMark/>
          </w:tcPr>
          <w:p w:rsidR="006F17AE" w:rsidRPr="00E314EC" w:rsidRDefault="006F17AE" w:rsidP="00FF03C8">
            <w:pPr>
              <w:jc w:val="right"/>
            </w:pPr>
            <w:r w:rsidRPr="00E314EC">
              <w:t>0,00</w:t>
            </w:r>
          </w:p>
        </w:tc>
        <w:tc>
          <w:tcPr>
            <w:tcW w:w="916" w:type="pct"/>
            <w:shd w:val="clear" w:color="auto" w:fill="auto"/>
            <w:noWrap/>
            <w:vAlign w:val="bottom"/>
            <w:hideMark/>
          </w:tcPr>
          <w:p w:rsidR="006F17AE" w:rsidRPr="00E314EC" w:rsidRDefault="006F17AE" w:rsidP="00FF03C8">
            <w:pPr>
              <w:jc w:val="right"/>
            </w:pPr>
            <w:r w:rsidRPr="00E314EC">
              <w:t>29940</w:t>
            </w:r>
          </w:p>
        </w:tc>
        <w:tc>
          <w:tcPr>
            <w:tcW w:w="717" w:type="pct"/>
            <w:shd w:val="clear" w:color="auto" w:fill="auto"/>
            <w:noWrap/>
            <w:vAlign w:val="bottom"/>
            <w:hideMark/>
          </w:tcPr>
          <w:p w:rsidR="006F17AE" w:rsidRPr="00E314EC" w:rsidRDefault="006F17AE" w:rsidP="00FF03C8">
            <w:pPr>
              <w:jc w:val="right"/>
            </w:pPr>
            <w:r w:rsidRPr="00E314EC">
              <w:t>1,00</w:t>
            </w:r>
          </w:p>
        </w:tc>
        <w:tc>
          <w:tcPr>
            <w:tcW w:w="714" w:type="pct"/>
            <w:vAlign w:val="bottom"/>
          </w:tcPr>
          <w:p w:rsidR="006F17AE" w:rsidRPr="00E314EC" w:rsidRDefault="006F17AE" w:rsidP="00FF03C8">
            <w:pPr>
              <w:jc w:val="right"/>
            </w:pPr>
            <w:r w:rsidRPr="00E314EC">
              <w:t>0,2</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2</w:t>
            </w:r>
          </w:p>
        </w:tc>
        <w:tc>
          <w:tcPr>
            <w:tcW w:w="609" w:type="pct"/>
            <w:shd w:val="clear" w:color="auto" w:fill="auto"/>
            <w:noWrap/>
            <w:vAlign w:val="bottom"/>
            <w:hideMark/>
          </w:tcPr>
          <w:p w:rsidR="006F17AE" w:rsidRPr="00E314EC" w:rsidRDefault="006F17AE" w:rsidP="00FF03C8">
            <w:pPr>
              <w:jc w:val="right"/>
            </w:pPr>
            <w:r w:rsidRPr="00E314EC">
              <w:t>7</w:t>
            </w:r>
          </w:p>
        </w:tc>
        <w:tc>
          <w:tcPr>
            <w:tcW w:w="717" w:type="pct"/>
            <w:shd w:val="clear" w:color="auto" w:fill="auto"/>
            <w:noWrap/>
            <w:vAlign w:val="bottom"/>
            <w:hideMark/>
          </w:tcPr>
          <w:p w:rsidR="006F17AE" w:rsidRPr="00E314EC" w:rsidRDefault="006F17AE" w:rsidP="00FF03C8">
            <w:pPr>
              <w:jc w:val="right"/>
            </w:pPr>
            <w:r w:rsidRPr="00E314EC">
              <w:t>28</w:t>
            </w:r>
          </w:p>
        </w:tc>
        <w:tc>
          <w:tcPr>
            <w:tcW w:w="717" w:type="pct"/>
            <w:shd w:val="clear" w:color="auto" w:fill="auto"/>
            <w:noWrap/>
            <w:vAlign w:val="bottom"/>
            <w:hideMark/>
          </w:tcPr>
          <w:p w:rsidR="006F17AE" w:rsidRPr="00E314EC" w:rsidRDefault="006F17AE" w:rsidP="00FF03C8">
            <w:pPr>
              <w:jc w:val="right"/>
            </w:pPr>
            <w:r w:rsidRPr="00E314EC">
              <w:t>0,14</w:t>
            </w:r>
          </w:p>
        </w:tc>
        <w:tc>
          <w:tcPr>
            <w:tcW w:w="916" w:type="pct"/>
            <w:shd w:val="clear" w:color="auto" w:fill="auto"/>
            <w:noWrap/>
            <w:vAlign w:val="bottom"/>
            <w:hideMark/>
          </w:tcPr>
          <w:p w:rsidR="006F17AE" w:rsidRPr="00E314EC" w:rsidRDefault="006F17AE" w:rsidP="00FF03C8">
            <w:pPr>
              <w:jc w:val="right"/>
            </w:pPr>
            <w:r w:rsidRPr="00E314EC">
              <w:t>30360</w:t>
            </w:r>
          </w:p>
        </w:tc>
        <w:tc>
          <w:tcPr>
            <w:tcW w:w="717" w:type="pct"/>
            <w:shd w:val="clear" w:color="auto" w:fill="auto"/>
            <w:noWrap/>
            <w:vAlign w:val="bottom"/>
            <w:hideMark/>
          </w:tcPr>
          <w:p w:rsidR="006F17AE" w:rsidRPr="00E314EC" w:rsidRDefault="006F17AE" w:rsidP="00FF03C8">
            <w:pPr>
              <w:jc w:val="right"/>
            </w:pPr>
            <w:r w:rsidRPr="00E314EC">
              <w:t>0,86</w:t>
            </w:r>
          </w:p>
        </w:tc>
        <w:tc>
          <w:tcPr>
            <w:tcW w:w="714" w:type="pct"/>
            <w:vAlign w:val="bottom"/>
          </w:tcPr>
          <w:p w:rsidR="006F17AE" w:rsidRPr="00E314EC" w:rsidRDefault="006F17AE" w:rsidP="00FF03C8">
            <w:pPr>
              <w:jc w:val="right"/>
            </w:pPr>
            <w:r w:rsidRPr="00E314EC">
              <w:t>0,4</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3</w:t>
            </w:r>
          </w:p>
        </w:tc>
        <w:tc>
          <w:tcPr>
            <w:tcW w:w="609" w:type="pct"/>
            <w:shd w:val="clear" w:color="auto" w:fill="auto"/>
            <w:noWrap/>
            <w:vAlign w:val="bottom"/>
            <w:hideMark/>
          </w:tcPr>
          <w:p w:rsidR="006F17AE" w:rsidRPr="00E314EC" w:rsidRDefault="006F17AE" w:rsidP="00FF03C8">
            <w:pPr>
              <w:jc w:val="right"/>
            </w:pPr>
            <w:r w:rsidRPr="00E314EC">
              <w:t>6</w:t>
            </w:r>
          </w:p>
        </w:tc>
        <w:tc>
          <w:tcPr>
            <w:tcW w:w="717" w:type="pct"/>
            <w:shd w:val="clear" w:color="auto" w:fill="auto"/>
            <w:noWrap/>
            <w:vAlign w:val="bottom"/>
            <w:hideMark/>
          </w:tcPr>
          <w:p w:rsidR="006F17AE" w:rsidRPr="00E314EC" w:rsidRDefault="006F17AE" w:rsidP="00FF03C8">
            <w:pPr>
              <w:jc w:val="right"/>
            </w:pPr>
            <w:r w:rsidRPr="00E314EC">
              <w:t>25,8</w:t>
            </w:r>
          </w:p>
        </w:tc>
        <w:tc>
          <w:tcPr>
            <w:tcW w:w="717" w:type="pct"/>
            <w:shd w:val="clear" w:color="auto" w:fill="auto"/>
            <w:noWrap/>
            <w:vAlign w:val="bottom"/>
            <w:hideMark/>
          </w:tcPr>
          <w:p w:rsidR="006F17AE" w:rsidRPr="00E314EC" w:rsidRDefault="006F17AE" w:rsidP="00FF03C8">
            <w:pPr>
              <w:jc w:val="right"/>
            </w:pPr>
            <w:r w:rsidRPr="00E314EC">
              <w:t>0,29</w:t>
            </w:r>
          </w:p>
        </w:tc>
        <w:tc>
          <w:tcPr>
            <w:tcW w:w="916" w:type="pct"/>
            <w:shd w:val="clear" w:color="auto" w:fill="auto"/>
            <w:noWrap/>
            <w:vAlign w:val="bottom"/>
            <w:hideMark/>
          </w:tcPr>
          <w:p w:rsidR="006F17AE" w:rsidRPr="00E314EC" w:rsidRDefault="006F17AE" w:rsidP="00FF03C8">
            <w:pPr>
              <w:jc w:val="right"/>
            </w:pPr>
            <w:r w:rsidRPr="00E314EC">
              <w:t>30780</w:t>
            </w:r>
          </w:p>
        </w:tc>
        <w:tc>
          <w:tcPr>
            <w:tcW w:w="717" w:type="pct"/>
            <w:shd w:val="clear" w:color="auto" w:fill="auto"/>
            <w:noWrap/>
            <w:vAlign w:val="bottom"/>
            <w:hideMark/>
          </w:tcPr>
          <w:p w:rsidR="006F17AE" w:rsidRPr="00E314EC" w:rsidRDefault="006F17AE" w:rsidP="00FF03C8">
            <w:pPr>
              <w:jc w:val="right"/>
            </w:pPr>
            <w:r w:rsidRPr="00E314EC">
              <w:t>0,71</w:t>
            </w:r>
          </w:p>
        </w:tc>
        <w:tc>
          <w:tcPr>
            <w:tcW w:w="714" w:type="pct"/>
            <w:vAlign w:val="bottom"/>
          </w:tcPr>
          <w:p w:rsidR="006F17AE" w:rsidRPr="00E314EC" w:rsidRDefault="006F17AE" w:rsidP="00FF03C8">
            <w:pPr>
              <w:jc w:val="right"/>
            </w:pPr>
            <w:r w:rsidRPr="00E314EC">
              <w:t>0,6</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4</w:t>
            </w:r>
          </w:p>
        </w:tc>
        <w:tc>
          <w:tcPr>
            <w:tcW w:w="609" w:type="pct"/>
            <w:shd w:val="clear" w:color="auto" w:fill="auto"/>
            <w:noWrap/>
            <w:vAlign w:val="bottom"/>
            <w:hideMark/>
          </w:tcPr>
          <w:p w:rsidR="006F17AE" w:rsidRPr="00E314EC" w:rsidRDefault="006F17AE" w:rsidP="00FF03C8">
            <w:pPr>
              <w:jc w:val="right"/>
            </w:pPr>
            <w:r w:rsidRPr="00E314EC">
              <w:t>5</w:t>
            </w:r>
          </w:p>
        </w:tc>
        <w:tc>
          <w:tcPr>
            <w:tcW w:w="717" w:type="pct"/>
            <w:shd w:val="clear" w:color="auto" w:fill="auto"/>
            <w:noWrap/>
            <w:vAlign w:val="bottom"/>
            <w:hideMark/>
          </w:tcPr>
          <w:p w:rsidR="006F17AE" w:rsidRPr="00E314EC" w:rsidRDefault="006F17AE" w:rsidP="00FF03C8">
            <w:pPr>
              <w:jc w:val="right"/>
            </w:pPr>
            <w:r w:rsidRPr="00E314EC">
              <w:t>23,6</w:t>
            </w:r>
          </w:p>
        </w:tc>
        <w:tc>
          <w:tcPr>
            <w:tcW w:w="717" w:type="pct"/>
            <w:shd w:val="clear" w:color="auto" w:fill="auto"/>
            <w:noWrap/>
            <w:vAlign w:val="bottom"/>
            <w:hideMark/>
          </w:tcPr>
          <w:p w:rsidR="006F17AE" w:rsidRPr="00E314EC" w:rsidRDefault="006F17AE" w:rsidP="00FF03C8">
            <w:pPr>
              <w:jc w:val="right"/>
            </w:pPr>
            <w:r w:rsidRPr="00E314EC">
              <w:t>0,43</w:t>
            </w:r>
          </w:p>
        </w:tc>
        <w:tc>
          <w:tcPr>
            <w:tcW w:w="916" w:type="pct"/>
            <w:shd w:val="clear" w:color="auto" w:fill="auto"/>
            <w:noWrap/>
            <w:vAlign w:val="bottom"/>
            <w:hideMark/>
          </w:tcPr>
          <w:p w:rsidR="006F17AE" w:rsidRPr="00E314EC" w:rsidRDefault="006F17AE" w:rsidP="00FF03C8">
            <w:pPr>
              <w:jc w:val="right"/>
            </w:pPr>
            <w:r w:rsidRPr="00E314EC">
              <w:t>31200</w:t>
            </w:r>
          </w:p>
        </w:tc>
        <w:tc>
          <w:tcPr>
            <w:tcW w:w="717" w:type="pct"/>
            <w:shd w:val="clear" w:color="auto" w:fill="auto"/>
            <w:noWrap/>
            <w:vAlign w:val="bottom"/>
            <w:hideMark/>
          </w:tcPr>
          <w:p w:rsidR="006F17AE" w:rsidRPr="00E314EC" w:rsidRDefault="006F17AE" w:rsidP="00FF03C8">
            <w:pPr>
              <w:jc w:val="right"/>
            </w:pPr>
            <w:r w:rsidRPr="00E314EC">
              <w:t>0,57</w:t>
            </w:r>
          </w:p>
        </w:tc>
        <w:tc>
          <w:tcPr>
            <w:tcW w:w="714" w:type="pct"/>
            <w:vAlign w:val="bottom"/>
          </w:tcPr>
          <w:p w:rsidR="006F17AE" w:rsidRPr="00E314EC" w:rsidRDefault="006F17AE" w:rsidP="00FF03C8">
            <w:pPr>
              <w:jc w:val="right"/>
            </w:pPr>
            <w:r w:rsidRPr="00E314EC">
              <w:t>1,0</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5</w:t>
            </w:r>
          </w:p>
        </w:tc>
        <w:tc>
          <w:tcPr>
            <w:tcW w:w="609" w:type="pct"/>
            <w:shd w:val="clear" w:color="auto" w:fill="auto"/>
            <w:noWrap/>
            <w:vAlign w:val="bottom"/>
            <w:hideMark/>
          </w:tcPr>
          <w:p w:rsidR="006F17AE" w:rsidRPr="00E314EC" w:rsidRDefault="006F17AE" w:rsidP="00FF03C8">
            <w:pPr>
              <w:jc w:val="right"/>
            </w:pPr>
            <w:r w:rsidRPr="00E314EC">
              <w:t>4</w:t>
            </w:r>
          </w:p>
        </w:tc>
        <w:tc>
          <w:tcPr>
            <w:tcW w:w="717" w:type="pct"/>
            <w:shd w:val="clear" w:color="auto" w:fill="auto"/>
            <w:noWrap/>
            <w:vAlign w:val="bottom"/>
            <w:hideMark/>
          </w:tcPr>
          <w:p w:rsidR="006F17AE" w:rsidRPr="00E314EC" w:rsidRDefault="006F17AE" w:rsidP="00FF03C8">
            <w:pPr>
              <w:jc w:val="right"/>
            </w:pPr>
            <w:r w:rsidRPr="00E314EC">
              <w:t>21,4</w:t>
            </w:r>
          </w:p>
        </w:tc>
        <w:tc>
          <w:tcPr>
            <w:tcW w:w="717" w:type="pct"/>
            <w:shd w:val="clear" w:color="auto" w:fill="auto"/>
            <w:noWrap/>
            <w:vAlign w:val="bottom"/>
            <w:hideMark/>
          </w:tcPr>
          <w:p w:rsidR="006F17AE" w:rsidRPr="00E314EC" w:rsidRDefault="006F17AE" w:rsidP="00FF03C8">
            <w:pPr>
              <w:jc w:val="right"/>
            </w:pPr>
            <w:r w:rsidRPr="00E314EC">
              <w:t>0,57</w:t>
            </w:r>
          </w:p>
        </w:tc>
        <w:tc>
          <w:tcPr>
            <w:tcW w:w="916" w:type="pct"/>
            <w:shd w:val="clear" w:color="auto" w:fill="auto"/>
            <w:noWrap/>
            <w:vAlign w:val="bottom"/>
            <w:hideMark/>
          </w:tcPr>
          <w:p w:rsidR="006F17AE" w:rsidRPr="00E314EC" w:rsidRDefault="006F17AE" w:rsidP="00FF03C8">
            <w:pPr>
              <w:jc w:val="right"/>
            </w:pPr>
            <w:r w:rsidRPr="00E314EC">
              <w:t>31620</w:t>
            </w:r>
          </w:p>
        </w:tc>
        <w:tc>
          <w:tcPr>
            <w:tcW w:w="717" w:type="pct"/>
            <w:shd w:val="clear" w:color="auto" w:fill="auto"/>
            <w:noWrap/>
            <w:vAlign w:val="bottom"/>
            <w:hideMark/>
          </w:tcPr>
          <w:p w:rsidR="006F17AE" w:rsidRPr="00E314EC" w:rsidRDefault="006F17AE" w:rsidP="00FF03C8">
            <w:pPr>
              <w:jc w:val="right"/>
            </w:pPr>
            <w:r w:rsidRPr="00E314EC">
              <w:t>0,43</w:t>
            </w:r>
          </w:p>
        </w:tc>
        <w:tc>
          <w:tcPr>
            <w:tcW w:w="714" w:type="pct"/>
            <w:vAlign w:val="bottom"/>
          </w:tcPr>
          <w:p w:rsidR="006F17AE" w:rsidRPr="00E314EC" w:rsidRDefault="006F17AE" w:rsidP="00FF03C8">
            <w:pPr>
              <w:jc w:val="right"/>
            </w:pPr>
            <w:r w:rsidRPr="00E314EC">
              <w:t>0,6</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6</w:t>
            </w:r>
          </w:p>
        </w:tc>
        <w:tc>
          <w:tcPr>
            <w:tcW w:w="609" w:type="pct"/>
            <w:shd w:val="clear" w:color="auto" w:fill="auto"/>
            <w:noWrap/>
            <w:vAlign w:val="bottom"/>
            <w:hideMark/>
          </w:tcPr>
          <w:p w:rsidR="006F17AE" w:rsidRPr="00E314EC" w:rsidRDefault="006F17AE" w:rsidP="00FF03C8">
            <w:pPr>
              <w:jc w:val="right"/>
            </w:pPr>
            <w:r w:rsidRPr="00E314EC">
              <w:t>3</w:t>
            </w:r>
          </w:p>
        </w:tc>
        <w:tc>
          <w:tcPr>
            <w:tcW w:w="717" w:type="pct"/>
            <w:shd w:val="clear" w:color="auto" w:fill="auto"/>
            <w:noWrap/>
            <w:vAlign w:val="bottom"/>
            <w:hideMark/>
          </w:tcPr>
          <w:p w:rsidR="006F17AE" w:rsidRPr="00E314EC" w:rsidRDefault="006F17AE" w:rsidP="00FF03C8">
            <w:pPr>
              <w:jc w:val="right"/>
            </w:pPr>
            <w:r w:rsidRPr="00E314EC">
              <w:t>19,2</w:t>
            </w:r>
          </w:p>
        </w:tc>
        <w:tc>
          <w:tcPr>
            <w:tcW w:w="717" w:type="pct"/>
            <w:shd w:val="clear" w:color="auto" w:fill="auto"/>
            <w:noWrap/>
            <w:vAlign w:val="bottom"/>
            <w:hideMark/>
          </w:tcPr>
          <w:p w:rsidR="006F17AE" w:rsidRPr="00E314EC" w:rsidRDefault="006F17AE" w:rsidP="00FF03C8">
            <w:pPr>
              <w:jc w:val="right"/>
            </w:pPr>
            <w:r w:rsidRPr="00E314EC">
              <w:t>0,71</w:t>
            </w:r>
          </w:p>
        </w:tc>
        <w:tc>
          <w:tcPr>
            <w:tcW w:w="916" w:type="pct"/>
            <w:shd w:val="clear" w:color="auto" w:fill="auto"/>
            <w:noWrap/>
            <w:vAlign w:val="bottom"/>
            <w:hideMark/>
          </w:tcPr>
          <w:p w:rsidR="006F17AE" w:rsidRPr="00E314EC" w:rsidRDefault="006F17AE" w:rsidP="00FF03C8">
            <w:pPr>
              <w:jc w:val="right"/>
            </w:pPr>
            <w:r w:rsidRPr="00E314EC">
              <w:t>32040</w:t>
            </w:r>
          </w:p>
        </w:tc>
        <w:tc>
          <w:tcPr>
            <w:tcW w:w="717" w:type="pct"/>
            <w:shd w:val="clear" w:color="auto" w:fill="auto"/>
            <w:noWrap/>
            <w:vAlign w:val="bottom"/>
            <w:hideMark/>
          </w:tcPr>
          <w:p w:rsidR="006F17AE" w:rsidRPr="00E314EC" w:rsidRDefault="006F17AE" w:rsidP="00FF03C8">
            <w:pPr>
              <w:jc w:val="right"/>
            </w:pPr>
            <w:r w:rsidRPr="00E314EC">
              <w:t>0,29</w:t>
            </w:r>
          </w:p>
        </w:tc>
        <w:tc>
          <w:tcPr>
            <w:tcW w:w="714" w:type="pct"/>
            <w:vAlign w:val="bottom"/>
          </w:tcPr>
          <w:p w:rsidR="006F17AE" w:rsidRPr="00E314EC" w:rsidRDefault="006F17AE" w:rsidP="00FF03C8">
            <w:pPr>
              <w:jc w:val="right"/>
            </w:pPr>
            <w:r w:rsidRPr="00E314EC">
              <w:t>0,3</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7</w:t>
            </w:r>
          </w:p>
        </w:tc>
        <w:tc>
          <w:tcPr>
            <w:tcW w:w="609" w:type="pct"/>
            <w:shd w:val="clear" w:color="auto" w:fill="auto"/>
            <w:noWrap/>
            <w:vAlign w:val="bottom"/>
            <w:hideMark/>
          </w:tcPr>
          <w:p w:rsidR="006F17AE" w:rsidRPr="00E314EC" w:rsidRDefault="006F17AE" w:rsidP="00FF03C8">
            <w:pPr>
              <w:jc w:val="right"/>
            </w:pPr>
            <w:r w:rsidRPr="00E314EC">
              <w:t>2</w:t>
            </w:r>
          </w:p>
        </w:tc>
        <w:tc>
          <w:tcPr>
            <w:tcW w:w="717" w:type="pct"/>
            <w:shd w:val="clear" w:color="auto" w:fill="auto"/>
            <w:noWrap/>
            <w:vAlign w:val="bottom"/>
            <w:hideMark/>
          </w:tcPr>
          <w:p w:rsidR="006F17AE" w:rsidRPr="00E314EC" w:rsidRDefault="006F17AE" w:rsidP="00FF03C8">
            <w:pPr>
              <w:jc w:val="right"/>
            </w:pPr>
            <w:r w:rsidRPr="00E314EC">
              <w:t>17</w:t>
            </w:r>
          </w:p>
        </w:tc>
        <w:tc>
          <w:tcPr>
            <w:tcW w:w="717" w:type="pct"/>
            <w:shd w:val="clear" w:color="auto" w:fill="auto"/>
            <w:noWrap/>
            <w:vAlign w:val="bottom"/>
            <w:hideMark/>
          </w:tcPr>
          <w:p w:rsidR="006F17AE" w:rsidRPr="00E314EC" w:rsidRDefault="006F17AE" w:rsidP="00FF03C8">
            <w:pPr>
              <w:jc w:val="right"/>
            </w:pPr>
            <w:r w:rsidRPr="00E314EC">
              <w:t>0,86</w:t>
            </w:r>
          </w:p>
        </w:tc>
        <w:tc>
          <w:tcPr>
            <w:tcW w:w="916" w:type="pct"/>
            <w:shd w:val="clear" w:color="auto" w:fill="auto"/>
            <w:noWrap/>
            <w:vAlign w:val="bottom"/>
            <w:hideMark/>
          </w:tcPr>
          <w:p w:rsidR="006F17AE" w:rsidRPr="00E314EC" w:rsidRDefault="006F17AE" w:rsidP="00FF03C8">
            <w:pPr>
              <w:jc w:val="right"/>
            </w:pPr>
            <w:r w:rsidRPr="00E314EC">
              <w:t>32460</w:t>
            </w:r>
          </w:p>
        </w:tc>
        <w:tc>
          <w:tcPr>
            <w:tcW w:w="717" w:type="pct"/>
            <w:shd w:val="clear" w:color="auto" w:fill="auto"/>
            <w:noWrap/>
            <w:vAlign w:val="bottom"/>
            <w:hideMark/>
          </w:tcPr>
          <w:p w:rsidR="006F17AE" w:rsidRPr="00E314EC" w:rsidRDefault="006F17AE" w:rsidP="00FF03C8">
            <w:pPr>
              <w:jc w:val="right"/>
            </w:pPr>
            <w:r w:rsidRPr="00E314EC">
              <w:t>0,14</w:t>
            </w:r>
          </w:p>
        </w:tc>
        <w:tc>
          <w:tcPr>
            <w:tcW w:w="714" w:type="pct"/>
            <w:vAlign w:val="bottom"/>
          </w:tcPr>
          <w:p w:rsidR="006F17AE" w:rsidRPr="00E314EC" w:rsidRDefault="006F17AE" w:rsidP="00FF03C8">
            <w:pPr>
              <w:jc w:val="right"/>
            </w:pPr>
            <w:r w:rsidRPr="00E314EC">
              <w:t>0,3</w:t>
            </w:r>
          </w:p>
        </w:tc>
      </w:tr>
      <w:tr w:rsidR="006F17AE" w:rsidRPr="00E314EC" w:rsidTr="00E314EC">
        <w:trPr>
          <w:trHeight w:val="300"/>
        </w:trPr>
        <w:tc>
          <w:tcPr>
            <w:tcW w:w="610" w:type="pct"/>
            <w:shd w:val="clear" w:color="auto" w:fill="auto"/>
            <w:noWrap/>
            <w:vAlign w:val="bottom"/>
            <w:hideMark/>
          </w:tcPr>
          <w:p w:rsidR="006F17AE" w:rsidRPr="00E314EC" w:rsidRDefault="006F17AE" w:rsidP="00FF03C8">
            <w:pPr>
              <w:jc w:val="right"/>
            </w:pPr>
            <w:r w:rsidRPr="00E314EC">
              <w:t>8</w:t>
            </w:r>
          </w:p>
        </w:tc>
        <w:tc>
          <w:tcPr>
            <w:tcW w:w="609" w:type="pct"/>
            <w:shd w:val="clear" w:color="auto" w:fill="auto"/>
            <w:noWrap/>
            <w:vAlign w:val="bottom"/>
            <w:hideMark/>
          </w:tcPr>
          <w:p w:rsidR="006F17AE" w:rsidRPr="00E314EC" w:rsidRDefault="006F17AE" w:rsidP="00FF03C8">
            <w:pPr>
              <w:jc w:val="right"/>
            </w:pPr>
            <w:r w:rsidRPr="00E314EC">
              <w:t>1</w:t>
            </w:r>
          </w:p>
        </w:tc>
        <w:tc>
          <w:tcPr>
            <w:tcW w:w="717" w:type="pct"/>
            <w:shd w:val="clear" w:color="auto" w:fill="auto"/>
            <w:noWrap/>
            <w:vAlign w:val="bottom"/>
            <w:hideMark/>
          </w:tcPr>
          <w:p w:rsidR="006F17AE" w:rsidRPr="00E314EC" w:rsidRDefault="006F17AE" w:rsidP="00FF03C8">
            <w:pPr>
              <w:jc w:val="right"/>
            </w:pPr>
            <w:r w:rsidRPr="00E314EC">
              <w:t>14,8</w:t>
            </w:r>
          </w:p>
        </w:tc>
        <w:tc>
          <w:tcPr>
            <w:tcW w:w="717" w:type="pct"/>
            <w:shd w:val="clear" w:color="auto" w:fill="auto"/>
            <w:noWrap/>
            <w:vAlign w:val="bottom"/>
            <w:hideMark/>
          </w:tcPr>
          <w:p w:rsidR="006F17AE" w:rsidRPr="00E314EC" w:rsidRDefault="006F17AE" w:rsidP="00FF03C8">
            <w:pPr>
              <w:jc w:val="right"/>
            </w:pPr>
            <w:r w:rsidRPr="00E314EC">
              <w:t>1,00</w:t>
            </w:r>
          </w:p>
        </w:tc>
        <w:tc>
          <w:tcPr>
            <w:tcW w:w="916" w:type="pct"/>
            <w:shd w:val="clear" w:color="auto" w:fill="auto"/>
            <w:noWrap/>
            <w:vAlign w:val="bottom"/>
            <w:hideMark/>
          </w:tcPr>
          <w:p w:rsidR="006F17AE" w:rsidRPr="00E314EC" w:rsidRDefault="006F17AE" w:rsidP="00FF03C8">
            <w:pPr>
              <w:jc w:val="right"/>
            </w:pPr>
            <w:r w:rsidRPr="00E314EC">
              <w:t>32880</w:t>
            </w:r>
          </w:p>
        </w:tc>
        <w:tc>
          <w:tcPr>
            <w:tcW w:w="717" w:type="pct"/>
            <w:shd w:val="clear" w:color="auto" w:fill="auto"/>
            <w:noWrap/>
            <w:vAlign w:val="bottom"/>
            <w:hideMark/>
          </w:tcPr>
          <w:p w:rsidR="006F17AE" w:rsidRPr="00E314EC" w:rsidRDefault="006F17AE" w:rsidP="00FF03C8">
            <w:pPr>
              <w:jc w:val="right"/>
            </w:pPr>
            <w:r w:rsidRPr="00E314EC">
              <w:t>0,00</w:t>
            </w:r>
          </w:p>
        </w:tc>
        <w:tc>
          <w:tcPr>
            <w:tcW w:w="714" w:type="pct"/>
            <w:vAlign w:val="bottom"/>
          </w:tcPr>
          <w:p w:rsidR="006F17AE" w:rsidRPr="00E314EC" w:rsidRDefault="006F17AE" w:rsidP="00FF03C8">
            <w:pPr>
              <w:jc w:val="right"/>
            </w:pPr>
            <w:r w:rsidRPr="00E314EC">
              <w:t>0,1</w:t>
            </w:r>
          </w:p>
        </w:tc>
      </w:tr>
    </w:tbl>
    <w:p w:rsidR="006F17AE" w:rsidRPr="00E314EC" w:rsidRDefault="006F17AE" w:rsidP="006F17AE"/>
    <w:p w:rsidR="006F17AE" w:rsidRPr="00E314EC" w:rsidRDefault="006F17AE" w:rsidP="006F17AE">
      <w:pPr>
        <w:ind w:firstLine="204"/>
        <w:jc w:val="both"/>
      </w:pPr>
    </w:p>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 xml:space="preserve">Polazeći </w:t>
      </w:r>
      <w:proofErr w:type="gramStart"/>
      <w:r w:rsidRPr="00E314EC">
        <w:rPr>
          <w:rFonts w:eastAsia="Times New Roman"/>
          <w:szCs w:val="20"/>
          <w:lang w:val="en-US" w:eastAsia="ar-SA"/>
        </w:rPr>
        <w:t>od</w:t>
      </w:r>
      <w:proofErr w:type="gramEnd"/>
      <w:r w:rsidRPr="00E314EC">
        <w:rPr>
          <w:rFonts w:eastAsia="Times New Roman"/>
          <w:szCs w:val="20"/>
          <w:lang w:val="en-US" w:eastAsia="ar-SA"/>
        </w:rPr>
        <w:t xml:space="preserve"> ovih vrednosti, za svaku alterantivu se računaju i OWA operatori. Na primer, za prvu alternative, OWA vrednost se računa kao:</w:t>
      </w:r>
    </w:p>
    <w:p w:rsidR="004C0725" w:rsidRPr="00E314EC" w:rsidRDefault="004C0725" w:rsidP="004C0725">
      <w:pPr>
        <w:pStyle w:val="IEEEParagraph"/>
        <w:rPr>
          <w:lang w:val="en-US"/>
        </w:rPr>
      </w:pPr>
    </w:p>
    <w:p w:rsidR="004C0725" w:rsidRPr="00E314EC" w:rsidRDefault="004C0725" w:rsidP="004C0725">
      <w:pPr>
        <w:pStyle w:val="IEEEParagraph"/>
        <w:rPr>
          <w:lang w:val="en-US"/>
        </w:rPr>
      </w:pPr>
      <w:proofErr w:type="gramStart"/>
      <w:r w:rsidRPr="00E314EC">
        <w:rPr>
          <w:lang w:val="en-US"/>
        </w:rPr>
        <w:t>OWA(</w:t>
      </w:r>
      <w:proofErr w:type="gramEnd"/>
      <w:r w:rsidRPr="00E314EC">
        <w:rPr>
          <w:lang w:val="en-US"/>
        </w:rPr>
        <w:t xml:space="preserve">1) = 0,5 x 0 + 0,3 x 0,2 + 0,2 x 1 = 0,26 </w:t>
      </w:r>
    </w:p>
    <w:p w:rsidR="004C0725" w:rsidRDefault="004C0725" w:rsidP="004C0725">
      <w:pPr>
        <w:pStyle w:val="IEEEParagraph"/>
        <w:rPr>
          <w:lang w:val="en-US"/>
        </w:rPr>
      </w:pPr>
    </w:p>
    <w:p w:rsidR="00E314EC" w:rsidRPr="00E314EC" w:rsidRDefault="00E314EC" w:rsidP="004C0725">
      <w:pPr>
        <w:pStyle w:val="IEEEParagraph"/>
        <w:rPr>
          <w:lang w:val="en-US"/>
        </w:rPr>
      </w:pPr>
    </w:p>
    <w:p w:rsidR="004C0725" w:rsidRPr="00E314EC" w:rsidRDefault="004C0725" w:rsidP="004C0725">
      <w:pPr>
        <w:pStyle w:val="IEEEParagraph"/>
        <w:rPr>
          <w:rFonts w:eastAsia="Times New Roman"/>
          <w:szCs w:val="20"/>
          <w:lang w:val="en-US" w:eastAsia="ar-SA"/>
        </w:rPr>
      </w:pPr>
      <w:proofErr w:type="gramStart"/>
      <w:r w:rsidRPr="00E314EC">
        <w:rPr>
          <w:rFonts w:eastAsia="Times New Roman"/>
          <w:szCs w:val="20"/>
          <w:lang w:val="en-US" w:eastAsia="ar-SA"/>
        </w:rPr>
        <w:t>Tabela 3.</w:t>
      </w:r>
      <w:proofErr w:type="gramEnd"/>
      <w:r w:rsidRPr="00E314EC">
        <w:rPr>
          <w:rFonts w:eastAsia="Times New Roman"/>
          <w:szCs w:val="20"/>
          <w:lang w:val="en-US" w:eastAsia="ar-SA"/>
        </w:rPr>
        <w:t xml:space="preserve"> Rangiranje varijanti</w:t>
      </w:r>
    </w:p>
    <w:p w:rsidR="004C0725" w:rsidRPr="00E314EC" w:rsidRDefault="004C0725" w:rsidP="004C0725">
      <w:pPr>
        <w:pStyle w:val="IEEEParagraph"/>
        <w:rPr>
          <w:lang w:val="en-US"/>
        </w:rPr>
      </w:pPr>
    </w:p>
    <w:tbl>
      <w:tblPr>
        <w:tblW w:w="3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219"/>
        <w:gridCol w:w="2607"/>
      </w:tblGrid>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ind w:firstLine="0"/>
              <w:jc w:val="left"/>
              <w:rPr>
                <w:rFonts w:eastAsia="Times New Roman"/>
                <w:szCs w:val="20"/>
                <w:lang w:val="en-US" w:eastAsia="ar-SA"/>
              </w:rPr>
            </w:pPr>
            <w:r w:rsidRPr="00E314EC">
              <w:rPr>
                <w:rFonts w:eastAsia="Times New Roman"/>
                <w:szCs w:val="20"/>
                <w:lang w:val="en-US" w:eastAsia="ar-SA"/>
              </w:rPr>
              <w:t>Broj električnih vozila</w:t>
            </w:r>
          </w:p>
        </w:tc>
        <w:tc>
          <w:tcPr>
            <w:tcW w:w="1573" w:type="pct"/>
            <w:shd w:val="clear" w:color="auto" w:fill="auto"/>
            <w:noWrap/>
            <w:vAlign w:val="bottom"/>
            <w:hideMark/>
          </w:tcPr>
          <w:p w:rsidR="004C0725" w:rsidRPr="00E314EC" w:rsidRDefault="004C0725" w:rsidP="004C0725">
            <w:pPr>
              <w:pStyle w:val="IEEEParagraph"/>
              <w:ind w:firstLine="0"/>
              <w:rPr>
                <w:rFonts w:eastAsia="Times New Roman"/>
                <w:szCs w:val="20"/>
                <w:lang w:val="en-US" w:eastAsia="ar-SA"/>
              </w:rPr>
            </w:pPr>
            <w:r w:rsidRPr="00E314EC">
              <w:rPr>
                <w:rFonts w:eastAsia="Times New Roman"/>
                <w:szCs w:val="20"/>
                <w:lang w:val="en-US" w:eastAsia="ar-SA"/>
              </w:rPr>
              <w:t>Broj vozila na benzin</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p>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OWA</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1</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8</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0,26</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2</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7</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0,36</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3</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6</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0,46</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4</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5</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0,58</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5</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4</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0,50</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6</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3</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0,37</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7</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2</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0,30</w:t>
            </w:r>
          </w:p>
        </w:tc>
      </w:tr>
      <w:tr w:rsidR="004C0725" w:rsidRPr="00E314EC" w:rsidTr="00E314EC">
        <w:trPr>
          <w:trHeight w:val="300"/>
          <w:jc w:val="center"/>
        </w:trPr>
        <w:tc>
          <w:tcPr>
            <w:tcW w:w="1579"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8</w:t>
            </w:r>
          </w:p>
        </w:tc>
        <w:tc>
          <w:tcPr>
            <w:tcW w:w="1573"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1</w:t>
            </w:r>
          </w:p>
        </w:tc>
        <w:tc>
          <w:tcPr>
            <w:tcW w:w="1848" w:type="pct"/>
            <w:shd w:val="clear" w:color="auto" w:fill="auto"/>
            <w:noWrap/>
            <w:vAlign w:val="bottom"/>
            <w:hideMark/>
          </w:tcPr>
          <w:p w:rsidR="004C0725" w:rsidRPr="00E314EC" w:rsidRDefault="004C0725" w:rsidP="004C0725">
            <w:pPr>
              <w:pStyle w:val="IEEEParagraph"/>
              <w:rPr>
                <w:rFonts w:eastAsia="Times New Roman"/>
                <w:szCs w:val="20"/>
                <w:lang w:val="en-US" w:eastAsia="ar-SA"/>
              </w:rPr>
            </w:pPr>
            <w:r w:rsidRPr="00E314EC">
              <w:rPr>
                <w:rFonts w:eastAsia="Times New Roman"/>
                <w:szCs w:val="20"/>
                <w:lang w:val="en-US" w:eastAsia="ar-SA"/>
              </w:rPr>
              <w:t>0,23</w:t>
            </w:r>
          </w:p>
        </w:tc>
      </w:tr>
    </w:tbl>
    <w:p w:rsidR="004C0725" w:rsidRPr="00E314EC" w:rsidRDefault="004C0725" w:rsidP="004C0725">
      <w:pPr>
        <w:pStyle w:val="IEEEParagraph"/>
        <w:rPr>
          <w:rFonts w:eastAsia="Times New Roman"/>
          <w:szCs w:val="20"/>
          <w:lang w:val="en-US" w:eastAsia="ar-SA"/>
        </w:rPr>
      </w:pPr>
    </w:p>
    <w:p w:rsidR="004C0725" w:rsidRPr="00E314EC" w:rsidRDefault="004C0725" w:rsidP="004C0725">
      <w:pPr>
        <w:pStyle w:val="IEEEParagraph"/>
        <w:rPr>
          <w:rFonts w:eastAsia="Times New Roman"/>
          <w:szCs w:val="20"/>
          <w:lang w:val="en-US" w:eastAsia="ar-SA"/>
        </w:rPr>
      </w:pPr>
      <w:proofErr w:type="gramStart"/>
      <w:r w:rsidRPr="00E314EC">
        <w:rPr>
          <w:rFonts w:eastAsia="Times New Roman"/>
          <w:szCs w:val="20"/>
          <w:lang w:val="en-US" w:eastAsia="ar-SA"/>
        </w:rPr>
        <w:t>Najbolja varijanta iz prethodne tabele je kombinacija 4 električna I 5 konvencionalnih vozila.</w:t>
      </w:r>
      <w:proofErr w:type="gramEnd"/>
    </w:p>
    <w:p w:rsidR="006F17AE" w:rsidRPr="00E314EC" w:rsidRDefault="006F17AE" w:rsidP="004C0725">
      <w:pPr>
        <w:pStyle w:val="IEEEParagraph"/>
        <w:rPr>
          <w:rFonts w:eastAsia="Times New Roman"/>
          <w:szCs w:val="20"/>
          <w:lang w:val="en-US" w:eastAsia="ar-SA"/>
        </w:rPr>
      </w:pPr>
    </w:p>
    <w:p w:rsidR="00E7201B" w:rsidRPr="00E314EC" w:rsidRDefault="00E7201B" w:rsidP="004C0725">
      <w:pPr>
        <w:pStyle w:val="IEEEParagraph"/>
        <w:rPr>
          <w:rFonts w:eastAsia="Times New Roman"/>
          <w:szCs w:val="20"/>
          <w:lang w:val="en-US" w:eastAsia="ar-SA"/>
        </w:rPr>
      </w:pPr>
    </w:p>
    <w:p w:rsidR="00FF03C8" w:rsidRPr="00E314EC" w:rsidRDefault="00FF03C8" w:rsidP="00E314EC">
      <w:pPr>
        <w:pStyle w:val="IEEEParagraph"/>
        <w:numPr>
          <w:ilvl w:val="0"/>
          <w:numId w:val="38"/>
        </w:numPr>
        <w:rPr>
          <w:rFonts w:eastAsia="Times New Roman"/>
          <w:b/>
          <w:szCs w:val="20"/>
          <w:lang w:val="en-US" w:eastAsia="ar-SA"/>
        </w:rPr>
      </w:pPr>
      <w:r w:rsidRPr="00E314EC">
        <w:rPr>
          <w:rFonts w:eastAsia="Times New Roman"/>
          <w:b/>
          <w:szCs w:val="20"/>
          <w:lang w:val="en-US" w:eastAsia="ar-SA"/>
        </w:rPr>
        <w:t>ZAKLJUČAK</w:t>
      </w:r>
    </w:p>
    <w:p w:rsidR="00FF03C8" w:rsidRPr="00E314EC" w:rsidRDefault="00FF03C8" w:rsidP="004C0725">
      <w:pPr>
        <w:pStyle w:val="IEEEParagraph"/>
        <w:rPr>
          <w:rFonts w:eastAsia="Times New Roman"/>
          <w:szCs w:val="20"/>
          <w:lang w:val="en-US" w:eastAsia="ar-SA"/>
        </w:rPr>
      </w:pPr>
    </w:p>
    <w:p w:rsidR="00FF03C8" w:rsidRPr="00E314EC" w:rsidRDefault="00FF03C8" w:rsidP="00FF03C8">
      <w:pPr>
        <w:ind w:firstLine="216"/>
        <w:jc w:val="both"/>
      </w:pPr>
      <w:r w:rsidRPr="00E314EC">
        <w:t xml:space="preserve">U jednoj kompaniji za distribuciju električne energije koriste se različite vrste vozila, u zavisnosti </w:t>
      </w:r>
      <w:proofErr w:type="gramStart"/>
      <w:r w:rsidRPr="00E314EC">
        <w:t>od</w:t>
      </w:r>
      <w:proofErr w:type="gramEnd"/>
      <w:r w:rsidRPr="00E314EC">
        <w:t xml:space="preserve"> njihove namene, osobina terena, usvojene tipične šemu organizacije i od trenutnog kolebanja na tržištu vozila. Planiranje optimalne kombinacije ovih tipova podrazumeva utvrđivanje kombinacije vozila </w:t>
      </w:r>
      <w:proofErr w:type="gramStart"/>
      <w:r w:rsidRPr="00E314EC">
        <w:t>od</w:t>
      </w:r>
      <w:proofErr w:type="gramEnd"/>
      <w:r w:rsidRPr="00E314EC">
        <w:t xml:space="preserve"> koje se očekuje da maksimalno ispuni ciljeve, uz zadovoljavanje ograničenja koja se tiču nabavke I rada ovih vozila. </w:t>
      </w:r>
      <w:proofErr w:type="gramStart"/>
      <w:r w:rsidRPr="00E314EC">
        <w:t>Određivanje optimalne kombinacije je težak zadatak imajući u vidu nekoliko kriterijuma koji se moraju zadovoljiti istovremeno (kvalitet usluga, emisija CO</w:t>
      </w:r>
      <w:r w:rsidRPr="00E314EC">
        <w:rPr>
          <w:vertAlign w:val="subscript"/>
        </w:rPr>
        <w:t>2</w:t>
      </w:r>
      <w:r w:rsidRPr="00E314EC">
        <w:t>,</w:t>
      </w:r>
      <w:r w:rsidR="00D315FC" w:rsidRPr="00E314EC">
        <w:t xml:space="preserve"> </w:t>
      </w:r>
      <w:r w:rsidRPr="00E314EC">
        <w:t>ukupni troškovi parka i mogućnosti skladištenja energije kod električnih vozila).</w:t>
      </w:r>
      <w:proofErr w:type="gramEnd"/>
      <w:r w:rsidRPr="00E314EC">
        <w:t xml:space="preserve"> Iz tog razloga, u ovom radu je predložen</w:t>
      </w:r>
      <w:r w:rsidR="00D315FC" w:rsidRPr="00E314EC">
        <w:t>a</w:t>
      </w:r>
      <w:r w:rsidRPr="00E314EC">
        <w:t xml:space="preserve"> višekriterijumska </w:t>
      </w:r>
      <w:r w:rsidR="00D315FC" w:rsidRPr="00E314EC">
        <w:t xml:space="preserve">tehnika </w:t>
      </w:r>
      <w:r w:rsidRPr="00E314EC">
        <w:t xml:space="preserve">odlučivanja </w:t>
      </w:r>
      <w:proofErr w:type="gramStart"/>
      <w:r w:rsidRPr="00E314EC">
        <w:t>sa</w:t>
      </w:r>
      <w:proofErr w:type="gramEnd"/>
      <w:r w:rsidRPr="00E314EC">
        <w:t xml:space="preserve"> O</w:t>
      </w:r>
      <w:r w:rsidR="00D315FC" w:rsidRPr="00E314EC">
        <w:t>WA operatorima za određivanje optimalnog broja dva tipa vozila</w:t>
      </w:r>
      <w:r w:rsidRPr="00E314EC">
        <w:t xml:space="preserve">. Metodologija je ilustrovana </w:t>
      </w:r>
      <w:proofErr w:type="gramStart"/>
      <w:r w:rsidRPr="00E314EC">
        <w:t>na</w:t>
      </w:r>
      <w:proofErr w:type="gramEnd"/>
      <w:r w:rsidRPr="00E314EC">
        <w:t xml:space="preserve"> utvrđivanju voznog parka srednje veličine za distributivne kompanije sa 50 000 potrošača, a</w:t>
      </w:r>
      <w:r w:rsidR="00D315FC" w:rsidRPr="00E314EC">
        <w:t xml:space="preserve"> </w:t>
      </w:r>
      <w:r w:rsidRPr="00E314EC">
        <w:t>zaključak je da električna vozila moraju biti</w:t>
      </w:r>
      <w:r w:rsidR="00D315FC" w:rsidRPr="00E314EC">
        <w:t xml:space="preserve"> </w:t>
      </w:r>
      <w:r w:rsidRPr="00E314EC">
        <w:t xml:space="preserve">deo jednog </w:t>
      </w:r>
      <w:r w:rsidR="00D315FC" w:rsidRPr="00E314EC">
        <w:t>preduzeća</w:t>
      </w:r>
      <w:r w:rsidRPr="00E314EC">
        <w:t xml:space="preserve"> zbog svojih performansi, manji troškov</w:t>
      </w:r>
      <w:r w:rsidR="00D315FC" w:rsidRPr="00E314EC">
        <w:t>a</w:t>
      </w:r>
      <w:r w:rsidRPr="00E314EC">
        <w:t xml:space="preserve"> </w:t>
      </w:r>
      <w:r w:rsidR="00D315FC" w:rsidRPr="00E314EC">
        <w:t xml:space="preserve">i </w:t>
      </w:r>
      <w:r w:rsidRPr="00E314EC">
        <w:t>jeftin</w:t>
      </w:r>
      <w:r w:rsidR="00D315FC" w:rsidRPr="00E314EC">
        <w:t>og načina</w:t>
      </w:r>
      <w:r w:rsidRPr="00E314EC">
        <w:t xml:space="preserve"> </w:t>
      </w:r>
      <w:r w:rsidR="00D315FC" w:rsidRPr="00E314EC">
        <w:t xml:space="preserve">za </w:t>
      </w:r>
      <w:r w:rsidRPr="00E314EC">
        <w:t xml:space="preserve">skladištenje </w:t>
      </w:r>
      <w:r w:rsidR="00D315FC" w:rsidRPr="00E314EC">
        <w:t xml:space="preserve">energije, pogotovu iz vremenski vrlo promenljivih - </w:t>
      </w:r>
      <w:r w:rsidRPr="00E314EC">
        <w:t>obnovljiv</w:t>
      </w:r>
      <w:r w:rsidR="00D315FC" w:rsidRPr="00E314EC">
        <w:t>ih</w:t>
      </w:r>
      <w:r w:rsidRPr="00E314EC">
        <w:t xml:space="preserve"> </w:t>
      </w:r>
      <w:r w:rsidR="00D315FC" w:rsidRPr="00E314EC">
        <w:t xml:space="preserve">izvora </w:t>
      </w:r>
      <w:r w:rsidRPr="00E314EC">
        <w:t>električne energije</w:t>
      </w:r>
      <w:r w:rsidR="00D315FC" w:rsidRPr="00E314EC">
        <w:t>.</w:t>
      </w:r>
    </w:p>
    <w:p w:rsidR="00E7201B" w:rsidRDefault="00E7201B" w:rsidP="003027F0">
      <w:pPr>
        <w:ind w:firstLine="567"/>
        <w:jc w:val="both"/>
      </w:pPr>
    </w:p>
    <w:p w:rsidR="00E314EC" w:rsidRPr="00E314EC" w:rsidRDefault="00E314EC" w:rsidP="003027F0">
      <w:pPr>
        <w:ind w:firstLine="567"/>
        <w:jc w:val="both"/>
      </w:pPr>
    </w:p>
    <w:p w:rsidR="00D315FC" w:rsidRPr="00E314EC" w:rsidRDefault="00D315FC" w:rsidP="003027F0">
      <w:pPr>
        <w:ind w:firstLine="567"/>
        <w:jc w:val="both"/>
      </w:pPr>
    </w:p>
    <w:p w:rsidR="004B26D1" w:rsidRPr="00E314EC" w:rsidRDefault="004B26D1" w:rsidP="004B26D1">
      <w:pPr>
        <w:jc w:val="both"/>
        <w:rPr>
          <w:b/>
        </w:rPr>
      </w:pPr>
      <w:r w:rsidRPr="00E314EC">
        <w:rPr>
          <w:b/>
        </w:rPr>
        <w:lastRenderedPageBreak/>
        <w:t>LITERATURA</w:t>
      </w:r>
    </w:p>
    <w:p w:rsidR="004B26D1" w:rsidRPr="00E314EC" w:rsidRDefault="004B26D1" w:rsidP="004B26D1">
      <w:pPr>
        <w:jc w:val="both"/>
        <w:rPr>
          <w:b/>
        </w:rPr>
      </w:pP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C. Gerkensmeyer et al. “Technical Challenges of Plug-In Hybrid Electric Vehicles and Impacts to the US Power System: Distribution System Analysis”, report to the US Department of Energy, January 2010.</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A. H. Hajimiragha, C. A. Canizares, M. W. Fowler, S. Moazeni, and A.Elkamel, “A robust optimization approach for planning the transition to plug-in hybrid electric vehicles,” IEEE Transactions on Power Systems,  vol.26, no.4, pp.2264-2274, Nov. 2011</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 xml:space="preserve">A. S. Masoum, S.Deilami, P. S. Moses, M. A. S. Masoum, and A. Abu-Siada, “Smart load management of plug-in electric vehicles in distribution and residential networks with charging stations for peak shaving and loss minimisation considering voltage regulation,” IETGeneration, Transmission &amp; Distribution, vol. 5, no. 8, pp. 877-888, Aug. 2011. </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L. F. Kou, Z. F. Liu, and H. Zhou, “Modeling algorithm of charging station planning for regional electric vehicle,” Modern Electric Power, vol. 27, no. 4, pp. 44-48, Aug. 2010.</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Council of European Energy Regulators, 5th CEER Benchmarking Report on the Quality of Electricity Supply 2011</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 xml:space="preserve">K. Brekke, R. Vailati, D. Torstensson, M. Steiner, A. Falcão, “CEER Recommendations onEstimation of Costs due to Electricity Interruptions and Voltage Disturbances”, CIRED International Conference on Electricity Distribution, Frankfurt, June 2011. </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SINTEF Energy Research, “Study on estimation of costs due to electricity interruptions and voltage disturbances” TR F6978, December 2010.</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 xml:space="preserve">Hillier F, Lieberman G, “Introduction to operations research”, Mc Graw Hill International edition, 2001 </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C. Samaras, K. Meisterling, Life cycle assessment of greenhouse gas emission from plug-in hybrid vehicles, Environ.Sci.Technol. 2008, 42, 3170-3176</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W. Kempton, J. Tomic, Vehicle-to-grid power fundamentals: Calculating capacity and net revenue, Journal of Power Sources, Vol. 144, No. 1, 268-279, June 2005.</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 xml:space="preserve"> R.R. Yager, On ordered weighted averaging aggregation operators in multi-criteria decision making, IEEE Transactions on Systems, Man and Cybernetics 18(1988) 183-190.</w:t>
      </w:r>
    </w:p>
    <w:p w:rsidR="006F17AE" w:rsidRPr="00E314EC" w:rsidRDefault="006F17AE" w:rsidP="006F17AE">
      <w:pPr>
        <w:pStyle w:val="IEEEReferenceItem"/>
        <w:numPr>
          <w:ilvl w:val="0"/>
          <w:numId w:val="32"/>
        </w:numPr>
        <w:shd w:val="clear" w:color="auto" w:fill="FFFFFF"/>
        <w:autoSpaceDE w:val="0"/>
        <w:autoSpaceDN w:val="0"/>
        <w:spacing w:after="82"/>
        <w:textAlignment w:val="baseline"/>
        <w:rPr>
          <w:rFonts w:eastAsia="Times New Roman"/>
          <w:sz w:val="20"/>
          <w:szCs w:val="20"/>
          <w:lang w:eastAsia="ar-SA"/>
        </w:rPr>
      </w:pPr>
      <w:r w:rsidRPr="00E314EC">
        <w:rPr>
          <w:rFonts w:eastAsia="Times New Roman"/>
          <w:sz w:val="20"/>
          <w:szCs w:val="20"/>
          <w:lang w:eastAsia="ar-SA"/>
        </w:rPr>
        <w:t xml:space="preserve"> R.R.Yager, Fuzzy Screaning Systems, in: R.Lowen and M.Roubens eds., Fuzzy Logic: State of the Art, Kluwer, Dordrecht, 1993 251-261.</w:t>
      </w:r>
    </w:p>
    <w:sectPr w:rsidR="006F17AE" w:rsidRPr="00E314EC" w:rsidSect="000C3D77">
      <w:pgSz w:w="11907" w:h="16839" w:code="9"/>
      <w:pgMar w:top="1361" w:right="1418" w:bottom="136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Sans">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B767E5"/>
    <w:multiLevelType w:val="hybridMultilevel"/>
    <w:tmpl w:val="EFA8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A7265"/>
    <w:multiLevelType w:val="hybridMultilevel"/>
    <w:tmpl w:val="984C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53609"/>
    <w:multiLevelType w:val="hybridMultilevel"/>
    <w:tmpl w:val="45A2D6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19D77979"/>
    <w:multiLevelType w:val="hybridMultilevel"/>
    <w:tmpl w:val="E2B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B5517"/>
    <w:multiLevelType w:val="hybridMultilevel"/>
    <w:tmpl w:val="32A0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46F0E"/>
    <w:multiLevelType w:val="hybridMultilevel"/>
    <w:tmpl w:val="512C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B130A"/>
    <w:multiLevelType w:val="hybridMultilevel"/>
    <w:tmpl w:val="4650FAEC"/>
    <w:lvl w:ilvl="0" w:tplc="04090001">
      <w:start w:val="1"/>
      <w:numFmt w:val="bullet"/>
      <w:pStyle w:val="IEEEReferenceItem"/>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2708078C"/>
    <w:multiLevelType w:val="hybridMultilevel"/>
    <w:tmpl w:val="8DBA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5694B"/>
    <w:multiLevelType w:val="hybridMultilevel"/>
    <w:tmpl w:val="5B600DB8"/>
    <w:lvl w:ilvl="0" w:tplc="A4141782">
      <w:start w:val="1"/>
      <w:numFmt w:val="bullet"/>
      <w:lvlText w:val=""/>
      <w:lvlJc w:val="left"/>
      <w:pPr>
        <w:ind w:left="720" w:hanging="360"/>
      </w:pPr>
      <w:rPr>
        <w:rFonts w:ascii="Symbol" w:hAnsi="Symbol" w:hint="default"/>
      </w:rPr>
    </w:lvl>
    <w:lvl w:ilvl="1" w:tplc="3E8A8368">
      <w:start w:val="1"/>
      <w:numFmt w:val="bullet"/>
      <w:lvlText w:val="o"/>
      <w:lvlJc w:val="left"/>
      <w:pPr>
        <w:ind w:left="1440" w:hanging="360"/>
      </w:pPr>
      <w:rPr>
        <w:rFonts w:ascii="Courier New" w:hAnsi="Courier New" w:cs="Courier New" w:hint="default"/>
      </w:rPr>
    </w:lvl>
    <w:lvl w:ilvl="2" w:tplc="ABBCC014" w:tentative="1">
      <w:start w:val="1"/>
      <w:numFmt w:val="bullet"/>
      <w:lvlText w:val=""/>
      <w:lvlJc w:val="left"/>
      <w:pPr>
        <w:ind w:left="2160" w:hanging="360"/>
      </w:pPr>
      <w:rPr>
        <w:rFonts w:ascii="Wingdings" w:hAnsi="Wingdings" w:hint="default"/>
      </w:rPr>
    </w:lvl>
    <w:lvl w:ilvl="3" w:tplc="3C0E7082" w:tentative="1">
      <w:start w:val="1"/>
      <w:numFmt w:val="bullet"/>
      <w:lvlText w:val=""/>
      <w:lvlJc w:val="left"/>
      <w:pPr>
        <w:ind w:left="2880" w:hanging="360"/>
      </w:pPr>
      <w:rPr>
        <w:rFonts w:ascii="Symbol" w:hAnsi="Symbol" w:hint="default"/>
      </w:rPr>
    </w:lvl>
    <w:lvl w:ilvl="4" w:tplc="C234E1B0" w:tentative="1">
      <w:start w:val="1"/>
      <w:numFmt w:val="bullet"/>
      <w:lvlText w:val="o"/>
      <w:lvlJc w:val="left"/>
      <w:pPr>
        <w:ind w:left="3600" w:hanging="360"/>
      </w:pPr>
      <w:rPr>
        <w:rFonts w:ascii="Courier New" w:hAnsi="Courier New" w:cs="Courier New" w:hint="default"/>
      </w:rPr>
    </w:lvl>
    <w:lvl w:ilvl="5" w:tplc="A6545682" w:tentative="1">
      <w:start w:val="1"/>
      <w:numFmt w:val="bullet"/>
      <w:lvlText w:val=""/>
      <w:lvlJc w:val="left"/>
      <w:pPr>
        <w:ind w:left="4320" w:hanging="360"/>
      </w:pPr>
      <w:rPr>
        <w:rFonts w:ascii="Wingdings" w:hAnsi="Wingdings" w:hint="default"/>
      </w:rPr>
    </w:lvl>
    <w:lvl w:ilvl="6" w:tplc="5366E9C8" w:tentative="1">
      <w:start w:val="1"/>
      <w:numFmt w:val="bullet"/>
      <w:lvlText w:val=""/>
      <w:lvlJc w:val="left"/>
      <w:pPr>
        <w:ind w:left="5040" w:hanging="360"/>
      </w:pPr>
      <w:rPr>
        <w:rFonts w:ascii="Symbol" w:hAnsi="Symbol" w:hint="default"/>
      </w:rPr>
    </w:lvl>
    <w:lvl w:ilvl="7" w:tplc="426C91CE" w:tentative="1">
      <w:start w:val="1"/>
      <w:numFmt w:val="bullet"/>
      <w:lvlText w:val="o"/>
      <w:lvlJc w:val="left"/>
      <w:pPr>
        <w:ind w:left="5760" w:hanging="360"/>
      </w:pPr>
      <w:rPr>
        <w:rFonts w:ascii="Courier New" w:hAnsi="Courier New" w:cs="Courier New" w:hint="default"/>
      </w:rPr>
    </w:lvl>
    <w:lvl w:ilvl="8" w:tplc="188AAE40" w:tentative="1">
      <w:start w:val="1"/>
      <w:numFmt w:val="bullet"/>
      <w:lvlText w:val=""/>
      <w:lvlJc w:val="left"/>
      <w:pPr>
        <w:ind w:left="6480" w:hanging="360"/>
      </w:pPr>
      <w:rPr>
        <w:rFonts w:ascii="Wingdings" w:hAnsi="Wingdings" w:hint="default"/>
      </w:rPr>
    </w:lvl>
  </w:abstractNum>
  <w:abstractNum w:abstractNumId="10">
    <w:nsid w:val="3CDE52E2"/>
    <w:multiLevelType w:val="hybridMultilevel"/>
    <w:tmpl w:val="6CE2A99C"/>
    <w:lvl w:ilvl="0" w:tplc="56AC90D2">
      <w:start w:val="1"/>
      <w:numFmt w:val="decimal"/>
      <w:lvlText w:val="%1."/>
      <w:lvlJc w:val="left"/>
      <w:pPr>
        <w:ind w:left="1080" w:hanging="360"/>
      </w:pPr>
      <w:rPr>
        <w:rFonts w:hint="default"/>
      </w:rPr>
    </w:lvl>
    <w:lvl w:ilvl="1" w:tplc="5F7EB8F4" w:tentative="1">
      <w:start w:val="1"/>
      <w:numFmt w:val="lowerLetter"/>
      <w:lvlText w:val="%2."/>
      <w:lvlJc w:val="left"/>
      <w:pPr>
        <w:ind w:left="1800" w:hanging="360"/>
      </w:pPr>
    </w:lvl>
    <w:lvl w:ilvl="2" w:tplc="1E80902C" w:tentative="1">
      <w:start w:val="1"/>
      <w:numFmt w:val="lowerRoman"/>
      <w:lvlText w:val="%3."/>
      <w:lvlJc w:val="right"/>
      <w:pPr>
        <w:ind w:left="2520" w:hanging="180"/>
      </w:pPr>
    </w:lvl>
    <w:lvl w:ilvl="3" w:tplc="556EB02C" w:tentative="1">
      <w:start w:val="1"/>
      <w:numFmt w:val="decimal"/>
      <w:lvlText w:val="%4."/>
      <w:lvlJc w:val="left"/>
      <w:pPr>
        <w:ind w:left="3240" w:hanging="360"/>
      </w:pPr>
    </w:lvl>
    <w:lvl w:ilvl="4" w:tplc="3B4C2E1E" w:tentative="1">
      <w:start w:val="1"/>
      <w:numFmt w:val="lowerLetter"/>
      <w:lvlText w:val="%5."/>
      <w:lvlJc w:val="left"/>
      <w:pPr>
        <w:ind w:left="3960" w:hanging="360"/>
      </w:pPr>
    </w:lvl>
    <w:lvl w:ilvl="5" w:tplc="9A843B1C" w:tentative="1">
      <w:start w:val="1"/>
      <w:numFmt w:val="lowerRoman"/>
      <w:lvlText w:val="%6."/>
      <w:lvlJc w:val="right"/>
      <w:pPr>
        <w:ind w:left="4680" w:hanging="180"/>
      </w:pPr>
    </w:lvl>
    <w:lvl w:ilvl="6" w:tplc="0128A764" w:tentative="1">
      <w:start w:val="1"/>
      <w:numFmt w:val="decimal"/>
      <w:lvlText w:val="%7."/>
      <w:lvlJc w:val="left"/>
      <w:pPr>
        <w:ind w:left="5400" w:hanging="360"/>
      </w:pPr>
    </w:lvl>
    <w:lvl w:ilvl="7" w:tplc="25582B50" w:tentative="1">
      <w:start w:val="1"/>
      <w:numFmt w:val="lowerLetter"/>
      <w:lvlText w:val="%8."/>
      <w:lvlJc w:val="left"/>
      <w:pPr>
        <w:ind w:left="6120" w:hanging="360"/>
      </w:pPr>
    </w:lvl>
    <w:lvl w:ilvl="8" w:tplc="003EBD84" w:tentative="1">
      <w:start w:val="1"/>
      <w:numFmt w:val="lowerRoman"/>
      <w:lvlText w:val="%9."/>
      <w:lvlJc w:val="right"/>
      <w:pPr>
        <w:ind w:left="6840" w:hanging="180"/>
      </w:pPr>
    </w:lvl>
  </w:abstractNum>
  <w:abstractNum w:abstractNumId="11">
    <w:nsid w:val="4279695B"/>
    <w:multiLevelType w:val="hybridMultilevel"/>
    <w:tmpl w:val="429477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C981E77"/>
    <w:multiLevelType w:val="hybridMultilevel"/>
    <w:tmpl w:val="01CC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A50CC"/>
    <w:multiLevelType w:val="hybridMultilevel"/>
    <w:tmpl w:val="25A464DC"/>
    <w:lvl w:ilvl="0" w:tplc="84BCB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97617F"/>
    <w:multiLevelType w:val="hybridMultilevel"/>
    <w:tmpl w:val="FB06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A675E"/>
    <w:multiLevelType w:val="hybridMultilevel"/>
    <w:tmpl w:val="9B6ABB40"/>
    <w:lvl w:ilvl="0" w:tplc="C4C68D02">
      <w:start w:val="1"/>
      <w:numFmt w:val="bullet"/>
      <w:lvlText w:val=""/>
      <w:lvlJc w:val="left"/>
      <w:pPr>
        <w:ind w:left="922" w:hanging="360"/>
      </w:pPr>
      <w:rPr>
        <w:rFonts w:ascii="Symbol" w:hAnsi="Symbol" w:hint="default"/>
      </w:rPr>
    </w:lvl>
    <w:lvl w:ilvl="1" w:tplc="04090019" w:tentative="1">
      <w:start w:val="1"/>
      <w:numFmt w:val="bullet"/>
      <w:lvlText w:val="o"/>
      <w:lvlJc w:val="left"/>
      <w:pPr>
        <w:ind w:left="1642" w:hanging="360"/>
      </w:pPr>
      <w:rPr>
        <w:rFonts w:ascii="Courier New" w:hAnsi="Courier New" w:cs="Courier New" w:hint="default"/>
      </w:rPr>
    </w:lvl>
    <w:lvl w:ilvl="2" w:tplc="0409001B" w:tentative="1">
      <w:start w:val="1"/>
      <w:numFmt w:val="bullet"/>
      <w:lvlText w:val=""/>
      <w:lvlJc w:val="left"/>
      <w:pPr>
        <w:ind w:left="2362" w:hanging="360"/>
      </w:pPr>
      <w:rPr>
        <w:rFonts w:ascii="Wingdings" w:hAnsi="Wingdings" w:hint="default"/>
      </w:rPr>
    </w:lvl>
    <w:lvl w:ilvl="3" w:tplc="0409000F" w:tentative="1">
      <w:start w:val="1"/>
      <w:numFmt w:val="bullet"/>
      <w:lvlText w:val=""/>
      <w:lvlJc w:val="left"/>
      <w:pPr>
        <w:ind w:left="3082" w:hanging="360"/>
      </w:pPr>
      <w:rPr>
        <w:rFonts w:ascii="Symbol" w:hAnsi="Symbol" w:hint="default"/>
      </w:rPr>
    </w:lvl>
    <w:lvl w:ilvl="4" w:tplc="04090019" w:tentative="1">
      <w:start w:val="1"/>
      <w:numFmt w:val="bullet"/>
      <w:lvlText w:val="o"/>
      <w:lvlJc w:val="left"/>
      <w:pPr>
        <w:ind w:left="3802" w:hanging="360"/>
      </w:pPr>
      <w:rPr>
        <w:rFonts w:ascii="Courier New" w:hAnsi="Courier New" w:cs="Courier New" w:hint="default"/>
      </w:rPr>
    </w:lvl>
    <w:lvl w:ilvl="5" w:tplc="0409001B" w:tentative="1">
      <w:start w:val="1"/>
      <w:numFmt w:val="bullet"/>
      <w:lvlText w:val=""/>
      <w:lvlJc w:val="left"/>
      <w:pPr>
        <w:ind w:left="4522" w:hanging="360"/>
      </w:pPr>
      <w:rPr>
        <w:rFonts w:ascii="Wingdings" w:hAnsi="Wingdings" w:hint="default"/>
      </w:rPr>
    </w:lvl>
    <w:lvl w:ilvl="6" w:tplc="0409000F" w:tentative="1">
      <w:start w:val="1"/>
      <w:numFmt w:val="bullet"/>
      <w:lvlText w:val=""/>
      <w:lvlJc w:val="left"/>
      <w:pPr>
        <w:ind w:left="5242" w:hanging="360"/>
      </w:pPr>
      <w:rPr>
        <w:rFonts w:ascii="Symbol" w:hAnsi="Symbol" w:hint="default"/>
      </w:rPr>
    </w:lvl>
    <w:lvl w:ilvl="7" w:tplc="04090019" w:tentative="1">
      <w:start w:val="1"/>
      <w:numFmt w:val="bullet"/>
      <w:lvlText w:val="o"/>
      <w:lvlJc w:val="left"/>
      <w:pPr>
        <w:ind w:left="5962" w:hanging="360"/>
      </w:pPr>
      <w:rPr>
        <w:rFonts w:ascii="Courier New" w:hAnsi="Courier New" w:cs="Courier New" w:hint="default"/>
      </w:rPr>
    </w:lvl>
    <w:lvl w:ilvl="8" w:tplc="0409001B" w:tentative="1">
      <w:start w:val="1"/>
      <w:numFmt w:val="bullet"/>
      <w:lvlText w:val=""/>
      <w:lvlJc w:val="left"/>
      <w:pPr>
        <w:ind w:left="6682" w:hanging="360"/>
      </w:pPr>
      <w:rPr>
        <w:rFonts w:ascii="Wingdings" w:hAnsi="Wingdings" w:hint="default"/>
      </w:rPr>
    </w:lvl>
  </w:abstractNum>
  <w:abstractNum w:abstractNumId="16">
    <w:nsid w:val="5D677EAA"/>
    <w:multiLevelType w:val="hybridMultilevel"/>
    <w:tmpl w:val="FB7E9242"/>
    <w:lvl w:ilvl="0" w:tplc="04090001">
      <w:start w:val="1"/>
      <w:numFmt w:val="decimal"/>
      <w:pStyle w:val="AS"/>
      <w:lvlText w:val="Slika %1."/>
      <w:lvlJc w:val="center"/>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605A247D"/>
    <w:multiLevelType w:val="multilevel"/>
    <w:tmpl w:val="16F037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Frutiger-Light" w:hAnsi="Frutiger-Light" w:hint="default"/>
        <w:i w:val="0"/>
        <w:sz w:val="28"/>
        <w:szCs w:val="28"/>
      </w:rPr>
    </w:lvl>
    <w:lvl w:ilvl="2">
      <w:start w:val="1"/>
      <w:numFmt w:val="decimal"/>
      <w:lvlText w:val="%1.%2.%3."/>
      <w:lvlJc w:val="left"/>
      <w:pPr>
        <w:tabs>
          <w:tab w:val="num" w:pos="1440"/>
        </w:tabs>
        <w:ind w:left="1224" w:hanging="504"/>
      </w:pPr>
      <w:rPr>
        <w:rFonts w:hint="default"/>
        <w:lang w:val="en-G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66FD4A76"/>
    <w:multiLevelType w:val="hybridMultilevel"/>
    <w:tmpl w:val="A89AB9F4"/>
    <w:lvl w:ilvl="0" w:tplc="8FA4E7F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687B7686"/>
    <w:multiLevelType w:val="hybridMultilevel"/>
    <w:tmpl w:val="49D01D4E"/>
    <w:lvl w:ilvl="0" w:tplc="63BA384A">
      <w:start w:val="1"/>
      <w:numFmt w:val="lowerLetter"/>
      <w:lvlText w:val="%1)"/>
      <w:lvlJc w:val="left"/>
      <w:pPr>
        <w:ind w:left="720" w:hanging="360"/>
      </w:pPr>
      <w:rPr>
        <w:rFonts w:hint="default"/>
      </w:rPr>
    </w:lvl>
    <w:lvl w:ilvl="1" w:tplc="B934B692" w:tentative="1">
      <w:start w:val="1"/>
      <w:numFmt w:val="lowerLetter"/>
      <w:lvlText w:val="%2."/>
      <w:lvlJc w:val="left"/>
      <w:pPr>
        <w:ind w:left="1440" w:hanging="360"/>
      </w:pPr>
    </w:lvl>
    <w:lvl w:ilvl="2" w:tplc="92B2190E" w:tentative="1">
      <w:start w:val="1"/>
      <w:numFmt w:val="lowerRoman"/>
      <w:lvlText w:val="%3."/>
      <w:lvlJc w:val="right"/>
      <w:pPr>
        <w:ind w:left="2160" w:hanging="180"/>
      </w:pPr>
    </w:lvl>
    <w:lvl w:ilvl="3" w:tplc="ACE0BB2A" w:tentative="1">
      <w:start w:val="1"/>
      <w:numFmt w:val="decimal"/>
      <w:lvlText w:val="%4."/>
      <w:lvlJc w:val="left"/>
      <w:pPr>
        <w:ind w:left="2880" w:hanging="360"/>
      </w:pPr>
    </w:lvl>
    <w:lvl w:ilvl="4" w:tplc="C76C1C34" w:tentative="1">
      <w:start w:val="1"/>
      <w:numFmt w:val="lowerLetter"/>
      <w:lvlText w:val="%5."/>
      <w:lvlJc w:val="left"/>
      <w:pPr>
        <w:ind w:left="3600" w:hanging="360"/>
      </w:pPr>
    </w:lvl>
    <w:lvl w:ilvl="5" w:tplc="4580C1DE" w:tentative="1">
      <w:start w:val="1"/>
      <w:numFmt w:val="lowerRoman"/>
      <w:lvlText w:val="%6."/>
      <w:lvlJc w:val="right"/>
      <w:pPr>
        <w:ind w:left="4320" w:hanging="180"/>
      </w:pPr>
    </w:lvl>
    <w:lvl w:ilvl="6" w:tplc="D706AC20" w:tentative="1">
      <w:start w:val="1"/>
      <w:numFmt w:val="decimal"/>
      <w:lvlText w:val="%7."/>
      <w:lvlJc w:val="left"/>
      <w:pPr>
        <w:ind w:left="5040" w:hanging="360"/>
      </w:pPr>
    </w:lvl>
    <w:lvl w:ilvl="7" w:tplc="DF66030A" w:tentative="1">
      <w:start w:val="1"/>
      <w:numFmt w:val="lowerLetter"/>
      <w:lvlText w:val="%8."/>
      <w:lvlJc w:val="left"/>
      <w:pPr>
        <w:ind w:left="5760" w:hanging="360"/>
      </w:pPr>
    </w:lvl>
    <w:lvl w:ilvl="8" w:tplc="D21C085C" w:tentative="1">
      <w:start w:val="1"/>
      <w:numFmt w:val="lowerRoman"/>
      <w:lvlText w:val="%9."/>
      <w:lvlJc w:val="right"/>
      <w:pPr>
        <w:ind w:left="6480" w:hanging="180"/>
      </w:pPr>
    </w:lvl>
  </w:abstractNum>
  <w:abstractNum w:abstractNumId="20">
    <w:nsid w:val="6DC3293B"/>
    <w:multiLevelType w:val="singleLevel"/>
    <w:tmpl w:val="3A8EC28E"/>
    <w:lvl w:ilvl="0">
      <w:start w:val="1"/>
      <w:numFmt w:val="decimal"/>
      <w:lvlText w:val="[%1]"/>
      <w:lvlJc w:val="left"/>
      <w:pPr>
        <w:tabs>
          <w:tab w:val="num" w:pos="360"/>
        </w:tabs>
        <w:ind w:left="360" w:hanging="360"/>
      </w:pPr>
    </w:lvl>
  </w:abstractNum>
  <w:abstractNum w:abstractNumId="21">
    <w:nsid w:val="6F945EC9"/>
    <w:multiLevelType w:val="hybridMultilevel"/>
    <w:tmpl w:val="3DE04C3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7499744A"/>
    <w:multiLevelType w:val="hybridMultilevel"/>
    <w:tmpl w:val="37845436"/>
    <w:lvl w:ilvl="0" w:tplc="504830BC">
      <w:start w:val="1"/>
      <w:numFmt w:val="bullet"/>
      <w:lvlText w:val=""/>
      <w:lvlJc w:val="left"/>
      <w:pPr>
        <w:ind w:left="720" w:hanging="360"/>
      </w:pPr>
      <w:rPr>
        <w:rFonts w:ascii="Symbol" w:hAnsi="Symbol" w:hint="default"/>
      </w:rPr>
    </w:lvl>
    <w:lvl w:ilvl="1" w:tplc="F74E2378" w:tentative="1">
      <w:start w:val="1"/>
      <w:numFmt w:val="bullet"/>
      <w:lvlText w:val="o"/>
      <w:lvlJc w:val="left"/>
      <w:pPr>
        <w:ind w:left="1440" w:hanging="360"/>
      </w:pPr>
      <w:rPr>
        <w:rFonts w:ascii="Courier New" w:hAnsi="Courier New" w:cs="Courier New" w:hint="default"/>
      </w:rPr>
    </w:lvl>
    <w:lvl w:ilvl="2" w:tplc="3BFEFA4E" w:tentative="1">
      <w:start w:val="1"/>
      <w:numFmt w:val="bullet"/>
      <w:lvlText w:val=""/>
      <w:lvlJc w:val="left"/>
      <w:pPr>
        <w:ind w:left="2160" w:hanging="360"/>
      </w:pPr>
      <w:rPr>
        <w:rFonts w:ascii="Wingdings" w:hAnsi="Wingdings" w:hint="default"/>
      </w:rPr>
    </w:lvl>
    <w:lvl w:ilvl="3" w:tplc="052A7CF2" w:tentative="1">
      <w:start w:val="1"/>
      <w:numFmt w:val="bullet"/>
      <w:lvlText w:val=""/>
      <w:lvlJc w:val="left"/>
      <w:pPr>
        <w:ind w:left="2880" w:hanging="360"/>
      </w:pPr>
      <w:rPr>
        <w:rFonts w:ascii="Symbol" w:hAnsi="Symbol" w:hint="default"/>
      </w:rPr>
    </w:lvl>
    <w:lvl w:ilvl="4" w:tplc="CB7275F4" w:tentative="1">
      <w:start w:val="1"/>
      <w:numFmt w:val="bullet"/>
      <w:lvlText w:val="o"/>
      <w:lvlJc w:val="left"/>
      <w:pPr>
        <w:ind w:left="3600" w:hanging="360"/>
      </w:pPr>
      <w:rPr>
        <w:rFonts w:ascii="Courier New" w:hAnsi="Courier New" w:cs="Courier New" w:hint="default"/>
      </w:rPr>
    </w:lvl>
    <w:lvl w:ilvl="5" w:tplc="808CDCDE" w:tentative="1">
      <w:start w:val="1"/>
      <w:numFmt w:val="bullet"/>
      <w:lvlText w:val=""/>
      <w:lvlJc w:val="left"/>
      <w:pPr>
        <w:ind w:left="4320" w:hanging="360"/>
      </w:pPr>
      <w:rPr>
        <w:rFonts w:ascii="Wingdings" w:hAnsi="Wingdings" w:hint="default"/>
      </w:rPr>
    </w:lvl>
    <w:lvl w:ilvl="6" w:tplc="BFFA7A52" w:tentative="1">
      <w:start w:val="1"/>
      <w:numFmt w:val="bullet"/>
      <w:lvlText w:val=""/>
      <w:lvlJc w:val="left"/>
      <w:pPr>
        <w:ind w:left="5040" w:hanging="360"/>
      </w:pPr>
      <w:rPr>
        <w:rFonts w:ascii="Symbol" w:hAnsi="Symbol" w:hint="default"/>
      </w:rPr>
    </w:lvl>
    <w:lvl w:ilvl="7" w:tplc="020025D4" w:tentative="1">
      <w:start w:val="1"/>
      <w:numFmt w:val="bullet"/>
      <w:lvlText w:val="o"/>
      <w:lvlJc w:val="left"/>
      <w:pPr>
        <w:ind w:left="5760" w:hanging="360"/>
      </w:pPr>
      <w:rPr>
        <w:rFonts w:ascii="Courier New" w:hAnsi="Courier New" w:cs="Courier New" w:hint="default"/>
      </w:rPr>
    </w:lvl>
    <w:lvl w:ilvl="8" w:tplc="AD54DD50" w:tentative="1">
      <w:start w:val="1"/>
      <w:numFmt w:val="bullet"/>
      <w:lvlText w:val=""/>
      <w:lvlJc w:val="left"/>
      <w:pPr>
        <w:ind w:left="6480" w:hanging="360"/>
      </w:pPr>
      <w:rPr>
        <w:rFonts w:ascii="Wingdings" w:hAnsi="Wingdings" w:hint="default"/>
      </w:rPr>
    </w:lvl>
  </w:abstractNum>
  <w:abstractNum w:abstractNumId="23">
    <w:nsid w:val="7D475E06"/>
    <w:multiLevelType w:val="hybridMultilevel"/>
    <w:tmpl w:val="A6708C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64C0B"/>
    <w:multiLevelType w:val="hybridMultilevel"/>
    <w:tmpl w:val="127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0"/>
  </w:num>
  <w:num w:numId="14">
    <w:abstractNumId w:val="0"/>
  </w:num>
  <w:num w:numId="15">
    <w:abstractNumId w:val="0"/>
  </w:num>
  <w:num w:numId="16">
    <w:abstractNumId w:val="16"/>
  </w:num>
  <w:num w:numId="17">
    <w:abstractNumId w:val="13"/>
  </w:num>
  <w:num w:numId="18">
    <w:abstractNumId w:val="10"/>
  </w:num>
  <w:num w:numId="19">
    <w:abstractNumId w:val="24"/>
  </w:num>
  <w:num w:numId="20">
    <w:abstractNumId w:val="21"/>
  </w:num>
  <w:num w:numId="21">
    <w:abstractNumId w:val="2"/>
  </w:num>
  <w:num w:numId="22">
    <w:abstractNumId w:val="22"/>
  </w:num>
  <w:num w:numId="23">
    <w:abstractNumId w:val="1"/>
  </w:num>
  <w:num w:numId="24">
    <w:abstractNumId w:val="15"/>
  </w:num>
  <w:num w:numId="25">
    <w:abstractNumId w:val="18"/>
  </w:num>
  <w:num w:numId="26">
    <w:abstractNumId w:val="4"/>
  </w:num>
  <w:num w:numId="27">
    <w:abstractNumId w:val="9"/>
  </w:num>
  <w:num w:numId="28">
    <w:abstractNumId w:val="8"/>
  </w:num>
  <w:num w:numId="29">
    <w:abstractNumId w:val="23"/>
  </w:num>
  <w:num w:numId="30">
    <w:abstractNumId w:val="11"/>
  </w:num>
  <w:num w:numId="31">
    <w:abstractNumId w:val="19"/>
  </w:num>
  <w:num w:numId="32">
    <w:abstractNumId w:val="20"/>
  </w:num>
  <w:num w:numId="33">
    <w:abstractNumId w:val="14"/>
  </w:num>
  <w:num w:numId="34">
    <w:abstractNumId w:val="7"/>
  </w:num>
  <w:num w:numId="35">
    <w:abstractNumId w:val="3"/>
  </w:num>
  <w:num w:numId="36">
    <w:abstractNumId w:val="6"/>
  </w:num>
  <w:num w:numId="37">
    <w:abstractNumId w:val="1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00"/>
  <w:displayHorizontalDrawingGridEvery w:val="2"/>
  <w:characterSpacingControl w:val="doNotCompress"/>
  <w:compat/>
  <w:rsids>
    <w:rsidRoot w:val="00B807D6"/>
    <w:rsid w:val="00011E2F"/>
    <w:rsid w:val="00041B2A"/>
    <w:rsid w:val="00042A7F"/>
    <w:rsid w:val="000669E0"/>
    <w:rsid w:val="000A2F08"/>
    <w:rsid w:val="000C3D77"/>
    <w:rsid w:val="000D245C"/>
    <w:rsid w:val="001117D2"/>
    <w:rsid w:val="00143E29"/>
    <w:rsid w:val="0016786C"/>
    <w:rsid w:val="00173A8F"/>
    <w:rsid w:val="001B51D6"/>
    <w:rsid w:val="001C322D"/>
    <w:rsid w:val="001F5367"/>
    <w:rsid w:val="00225EE0"/>
    <w:rsid w:val="0025121C"/>
    <w:rsid w:val="00267C72"/>
    <w:rsid w:val="00292F4D"/>
    <w:rsid w:val="00296E5D"/>
    <w:rsid w:val="002B632E"/>
    <w:rsid w:val="002F09A1"/>
    <w:rsid w:val="003027F0"/>
    <w:rsid w:val="00303C39"/>
    <w:rsid w:val="003143B2"/>
    <w:rsid w:val="00364B49"/>
    <w:rsid w:val="00384565"/>
    <w:rsid w:val="003D1EDE"/>
    <w:rsid w:val="003E0F93"/>
    <w:rsid w:val="00405F2E"/>
    <w:rsid w:val="00410383"/>
    <w:rsid w:val="00413C71"/>
    <w:rsid w:val="00440389"/>
    <w:rsid w:val="00457B2C"/>
    <w:rsid w:val="00491FE0"/>
    <w:rsid w:val="004B1191"/>
    <w:rsid w:val="004B26D1"/>
    <w:rsid w:val="004C0725"/>
    <w:rsid w:val="004C1AE6"/>
    <w:rsid w:val="004C3439"/>
    <w:rsid w:val="004C5E64"/>
    <w:rsid w:val="004E394A"/>
    <w:rsid w:val="004E63A6"/>
    <w:rsid w:val="00554224"/>
    <w:rsid w:val="00555B11"/>
    <w:rsid w:val="005A32BF"/>
    <w:rsid w:val="005C244C"/>
    <w:rsid w:val="005F695F"/>
    <w:rsid w:val="00641A96"/>
    <w:rsid w:val="00644EC1"/>
    <w:rsid w:val="0064646C"/>
    <w:rsid w:val="00655DDE"/>
    <w:rsid w:val="006666B1"/>
    <w:rsid w:val="006958DA"/>
    <w:rsid w:val="006C432E"/>
    <w:rsid w:val="006F17AE"/>
    <w:rsid w:val="0072140B"/>
    <w:rsid w:val="007414D4"/>
    <w:rsid w:val="0078105C"/>
    <w:rsid w:val="00790088"/>
    <w:rsid w:val="00794080"/>
    <w:rsid w:val="007F4000"/>
    <w:rsid w:val="00835421"/>
    <w:rsid w:val="0088674F"/>
    <w:rsid w:val="008E2BA9"/>
    <w:rsid w:val="00955417"/>
    <w:rsid w:val="0096056B"/>
    <w:rsid w:val="00964070"/>
    <w:rsid w:val="009D03DF"/>
    <w:rsid w:val="009D0DB7"/>
    <w:rsid w:val="009D2F16"/>
    <w:rsid w:val="009F5DD7"/>
    <w:rsid w:val="00A53C1D"/>
    <w:rsid w:val="00A728CC"/>
    <w:rsid w:val="00A82AB8"/>
    <w:rsid w:val="00AA7760"/>
    <w:rsid w:val="00B73AE3"/>
    <w:rsid w:val="00B807D6"/>
    <w:rsid w:val="00BC14E3"/>
    <w:rsid w:val="00BC7E0B"/>
    <w:rsid w:val="00BD0513"/>
    <w:rsid w:val="00C2014B"/>
    <w:rsid w:val="00C42C86"/>
    <w:rsid w:val="00C4565F"/>
    <w:rsid w:val="00C459BB"/>
    <w:rsid w:val="00C758B8"/>
    <w:rsid w:val="00CC1A9F"/>
    <w:rsid w:val="00D10E2A"/>
    <w:rsid w:val="00D12D88"/>
    <w:rsid w:val="00D20CAB"/>
    <w:rsid w:val="00D24AE6"/>
    <w:rsid w:val="00D315FC"/>
    <w:rsid w:val="00D437C3"/>
    <w:rsid w:val="00D81EE5"/>
    <w:rsid w:val="00D9667B"/>
    <w:rsid w:val="00DD6863"/>
    <w:rsid w:val="00DE2FF2"/>
    <w:rsid w:val="00DF23BB"/>
    <w:rsid w:val="00E314EC"/>
    <w:rsid w:val="00E53C05"/>
    <w:rsid w:val="00E7201B"/>
    <w:rsid w:val="00EB2545"/>
    <w:rsid w:val="00ED34D3"/>
    <w:rsid w:val="00EE0F8C"/>
    <w:rsid w:val="00F02430"/>
    <w:rsid w:val="00F215F3"/>
    <w:rsid w:val="00F23B77"/>
    <w:rsid w:val="00F474B1"/>
    <w:rsid w:val="00F748AF"/>
    <w:rsid w:val="00F824CC"/>
    <w:rsid w:val="00FF0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B2545"/>
    <w:pPr>
      <w:suppressAutoHyphens/>
    </w:pPr>
    <w:rPr>
      <w:lang w:eastAsia="ar-SA"/>
    </w:rPr>
  </w:style>
  <w:style w:type="paragraph" w:styleId="Heading1">
    <w:name w:val="heading 1"/>
    <w:aliases w:val="h1,h1 Char Char Char Char,h1 Char Char Char,h1 Char Char Char Char Char"/>
    <w:basedOn w:val="Normal"/>
    <w:next w:val="Normal"/>
    <w:link w:val="Heading1Char"/>
    <w:qFormat/>
    <w:rsid w:val="00EB2545"/>
    <w:pPr>
      <w:keepNext/>
      <w:numPr>
        <w:numId w:val="15"/>
      </w:numPr>
      <w:jc w:val="center"/>
      <w:outlineLvl w:val="0"/>
    </w:pPr>
    <w:rPr>
      <w:rFonts w:cs="Arial"/>
      <w:b/>
      <w:sz w:val="24"/>
      <w:lang w:val="hr-HR"/>
    </w:rPr>
  </w:style>
  <w:style w:type="paragraph" w:styleId="Heading2">
    <w:name w:val="heading 2"/>
    <w:aliases w:val="h2"/>
    <w:basedOn w:val="Normal"/>
    <w:next w:val="Normal"/>
    <w:link w:val="Heading2Char"/>
    <w:qFormat/>
    <w:rsid w:val="00EB2545"/>
    <w:pPr>
      <w:keepNext/>
      <w:numPr>
        <w:ilvl w:val="1"/>
        <w:numId w:val="15"/>
      </w:numPr>
      <w:outlineLvl w:val="1"/>
    </w:pPr>
    <w:rPr>
      <w:rFonts w:cs="Arial"/>
      <w:sz w:val="24"/>
      <w:shd w:val="clear" w:color="auto" w:fill="E6ECF9"/>
    </w:rPr>
  </w:style>
  <w:style w:type="paragraph" w:styleId="Heading3">
    <w:name w:val="heading 3"/>
    <w:aliases w:val="h3,h3 + (Complex) Arial,Before:  0&quot;,First line:  0&quot;,After:  0.02&quot;"/>
    <w:basedOn w:val="Normal"/>
    <w:next w:val="Normal"/>
    <w:link w:val="Heading3Char"/>
    <w:qFormat/>
    <w:rsid w:val="00EB2545"/>
    <w:pPr>
      <w:keepNext/>
      <w:numPr>
        <w:ilvl w:val="2"/>
        <w:numId w:val="15"/>
      </w:numPr>
      <w:spacing w:before="240" w:after="60"/>
      <w:outlineLvl w:val="2"/>
    </w:pPr>
    <w:rPr>
      <w:rFonts w:ascii="Arial" w:hAnsi="Arial" w:cs="Arial"/>
      <w:b/>
      <w:bCs/>
      <w:sz w:val="26"/>
      <w:szCs w:val="26"/>
    </w:rPr>
  </w:style>
  <w:style w:type="paragraph" w:styleId="Heading4">
    <w:name w:val="heading 4"/>
    <w:aliases w:val="h4"/>
    <w:basedOn w:val="Heading3"/>
    <w:next w:val="Normal"/>
    <w:link w:val="Heading4Char"/>
    <w:qFormat/>
    <w:rsid w:val="006666B1"/>
    <w:pPr>
      <w:keepLines/>
      <w:numPr>
        <w:ilvl w:val="0"/>
        <w:numId w:val="0"/>
      </w:numPr>
      <w:spacing w:before="200" w:after="0"/>
      <w:outlineLvl w:val="3"/>
    </w:pPr>
    <w:rPr>
      <w:rFonts w:ascii="Cambria" w:hAnsi="Cambria" w:cs="Times New Roman"/>
      <w:i/>
      <w:iCs/>
      <w:color w:val="4F81BD"/>
      <w:sz w:val="20"/>
      <w:szCs w:val="20"/>
    </w:rPr>
  </w:style>
  <w:style w:type="paragraph" w:styleId="Heading5">
    <w:name w:val="heading 5"/>
    <w:basedOn w:val="Heading4"/>
    <w:next w:val="Normal"/>
    <w:link w:val="Heading5Char"/>
    <w:qFormat/>
    <w:rsid w:val="006666B1"/>
    <w:pPr>
      <w:outlineLvl w:val="4"/>
    </w:pPr>
    <w:rPr>
      <w:b w:val="0"/>
      <w:bCs w:val="0"/>
      <w:i w:val="0"/>
      <w:iCs w:val="0"/>
      <w:color w:val="243F60"/>
    </w:rPr>
  </w:style>
  <w:style w:type="paragraph" w:styleId="Heading6">
    <w:name w:val="heading 6"/>
    <w:basedOn w:val="Heading5"/>
    <w:next w:val="Normal"/>
    <w:link w:val="Heading6Char"/>
    <w:qFormat/>
    <w:rsid w:val="006666B1"/>
    <w:pPr>
      <w:outlineLvl w:val="5"/>
    </w:pPr>
    <w:rPr>
      <w:i/>
      <w:iCs/>
    </w:rPr>
  </w:style>
  <w:style w:type="paragraph" w:styleId="Heading7">
    <w:name w:val="heading 7"/>
    <w:basedOn w:val="Heading6"/>
    <w:next w:val="Normal"/>
    <w:link w:val="Heading7Char"/>
    <w:qFormat/>
    <w:rsid w:val="006666B1"/>
    <w:pPr>
      <w:outlineLvl w:val="6"/>
    </w:pPr>
    <w:rPr>
      <w:color w:val="404040"/>
    </w:rPr>
  </w:style>
  <w:style w:type="paragraph" w:styleId="Heading8">
    <w:name w:val="heading 8"/>
    <w:basedOn w:val="Heading7"/>
    <w:next w:val="Normal"/>
    <w:link w:val="Heading8Char"/>
    <w:qFormat/>
    <w:rsid w:val="006666B1"/>
    <w:pPr>
      <w:outlineLvl w:val="7"/>
    </w:pPr>
    <w:rPr>
      <w:i w:val="0"/>
      <w:iCs w:val="0"/>
    </w:rPr>
  </w:style>
  <w:style w:type="paragraph" w:styleId="Heading9">
    <w:name w:val="heading 9"/>
    <w:basedOn w:val="Heading8"/>
    <w:next w:val="Normal"/>
    <w:link w:val="Heading9Char"/>
    <w:qFormat/>
    <w:rsid w:val="006666B1"/>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Char Char Char Char1,h1 Char Char Char Char1,h1 Char Char Char Char Char Char"/>
    <w:basedOn w:val="DefaultParagraphFont"/>
    <w:link w:val="Heading1"/>
    <w:rsid w:val="006666B1"/>
    <w:rPr>
      <w:rFonts w:cs="Arial"/>
      <w:b/>
      <w:sz w:val="24"/>
      <w:lang w:val="hr-HR" w:eastAsia="ar-SA"/>
    </w:rPr>
  </w:style>
  <w:style w:type="character" w:customStyle="1" w:styleId="Heading2Char">
    <w:name w:val="Heading 2 Char"/>
    <w:aliases w:val="h2 Char"/>
    <w:basedOn w:val="DefaultParagraphFont"/>
    <w:link w:val="Heading2"/>
    <w:rsid w:val="006666B1"/>
    <w:rPr>
      <w:rFonts w:cs="Arial"/>
      <w:sz w:val="24"/>
      <w:lang w:eastAsia="ar-SA"/>
    </w:rPr>
  </w:style>
  <w:style w:type="character" w:customStyle="1" w:styleId="Heading3Char">
    <w:name w:val="Heading 3 Char"/>
    <w:aliases w:val="h3 Char,h3 + (Complex) Arial Char,Before:  0&quot; Char,First line:  0&quot; Char,After:  0.02&quot; Char"/>
    <w:basedOn w:val="DefaultParagraphFont"/>
    <w:link w:val="Heading3"/>
    <w:rsid w:val="006666B1"/>
    <w:rPr>
      <w:rFonts w:ascii="Arial" w:hAnsi="Arial" w:cs="Arial"/>
      <w:b/>
      <w:bCs/>
      <w:sz w:val="26"/>
      <w:szCs w:val="26"/>
      <w:lang w:eastAsia="ar-SA"/>
    </w:rPr>
  </w:style>
  <w:style w:type="character" w:customStyle="1" w:styleId="Heading4Char">
    <w:name w:val="Heading 4 Char"/>
    <w:aliases w:val="h4 Char"/>
    <w:basedOn w:val="DefaultParagraphFont"/>
    <w:link w:val="Heading4"/>
    <w:semiHidden/>
    <w:rsid w:val="006666B1"/>
    <w:rPr>
      <w:rFonts w:ascii="Cambria" w:eastAsia="Times New Roman" w:hAnsi="Cambria" w:cs="Times New Roman"/>
      <w:b/>
      <w:bCs/>
      <w:i/>
      <w:iCs/>
      <w:color w:val="4F81BD"/>
      <w:lang w:eastAsia="ar-SA"/>
    </w:rPr>
  </w:style>
  <w:style w:type="character" w:customStyle="1" w:styleId="Heading5Char">
    <w:name w:val="Heading 5 Char"/>
    <w:basedOn w:val="DefaultParagraphFont"/>
    <w:link w:val="Heading5"/>
    <w:semiHidden/>
    <w:rsid w:val="006666B1"/>
    <w:rPr>
      <w:rFonts w:ascii="Cambria" w:eastAsia="Times New Roman" w:hAnsi="Cambria" w:cs="Times New Roman"/>
      <w:color w:val="243F60"/>
      <w:lang w:eastAsia="ar-SA"/>
    </w:rPr>
  </w:style>
  <w:style w:type="character" w:customStyle="1" w:styleId="Heading6Char">
    <w:name w:val="Heading 6 Char"/>
    <w:basedOn w:val="DefaultParagraphFont"/>
    <w:link w:val="Heading6"/>
    <w:semiHidden/>
    <w:rsid w:val="006666B1"/>
    <w:rPr>
      <w:rFonts w:ascii="Cambria" w:eastAsia="Times New Roman" w:hAnsi="Cambria" w:cs="Times New Roman"/>
      <w:i/>
      <w:iCs/>
      <w:color w:val="243F60"/>
      <w:lang w:eastAsia="ar-SA"/>
    </w:rPr>
  </w:style>
  <w:style w:type="character" w:customStyle="1" w:styleId="Heading7Char">
    <w:name w:val="Heading 7 Char"/>
    <w:basedOn w:val="DefaultParagraphFont"/>
    <w:link w:val="Heading7"/>
    <w:semiHidden/>
    <w:rsid w:val="006666B1"/>
    <w:rPr>
      <w:rFonts w:ascii="Cambria" w:eastAsia="Times New Roman" w:hAnsi="Cambria" w:cs="Times New Roman"/>
      <w:i/>
      <w:iCs/>
      <w:color w:val="404040"/>
      <w:lang w:eastAsia="ar-SA"/>
    </w:rPr>
  </w:style>
  <w:style w:type="character" w:customStyle="1" w:styleId="Heading8Char">
    <w:name w:val="Heading 8 Char"/>
    <w:basedOn w:val="DefaultParagraphFont"/>
    <w:link w:val="Heading8"/>
    <w:semiHidden/>
    <w:rsid w:val="006666B1"/>
    <w:rPr>
      <w:rFonts w:ascii="Cambria" w:eastAsia="Times New Roman" w:hAnsi="Cambria" w:cs="Times New Roman"/>
      <w:color w:val="404040"/>
      <w:lang w:eastAsia="ar-SA"/>
    </w:rPr>
  </w:style>
  <w:style w:type="character" w:customStyle="1" w:styleId="Heading9Char">
    <w:name w:val="Heading 9 Char"/>
    <w:basedOn w:val="DefaultParagraphFont"/>
    <w:link w:val="Heading9"/>
    <w:semiHidden/>
    <w:rsid w:val="006666B1"/>
    <w:rPr>
      <w:rFonts w:ascii="Cambria" w:eastAsia="Times New Roman" w:hAnsi="Cambria" w:cs="Times New Roman"/>
      <w:i/>
      <w:iCs/>
      <w:color w:val="404040"/>
      <w:lang w:eastAsia="ar-SA"/>
    </w:rPr>
  </w:style>
  <w:style w:type="paragraph" w:styleId="Caption">
    <w:name w:val="caption"/>
    <w:basedOn w:val="Normal"/>
    <w:qFormat/>
    <w:rsid w:val="00EB2545"/>
    <w:pPr>
      <w:suppressLineNumbers/>
      <w:spacing w:before="120" w:after="120"/>
    </w:pPr>
    <w:rPr>
      <w:rFonts w:cs="FreeSans"/>
      <w:i/>
      <w:iCs/>
      <w:sz w:val="24"/>
      <w:szCs w:val="24"/>
    </w:rPr>
  </w:style>
  <w:style w:type="paragraph" w:styleId="Title">
    <w:name w:val="Title"/>
    <w:basedOn w:val="Normal"/>
    <w:link w:val="TitleChar"/>
    <w:qFormat/>
    <w:rsid w:val="006666B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666B1"/>
    <w:rPr>
      <w:rFonts w:ascii="Cambria" w:eastAsia="Times New Roman" w:hAnsi="Cambria" w:cs="Times New Roman"/>
      <w:color w:val="17365D"/>
      <w:spacing w:val="5"/>
      <w:kern w:val="28"/>
      <w:sz w:val="52"/>
      <w:szCs w:val="52"/>
      <w:lang w:eastAsia="ar-SA"/>
    </w:rPr>
  </w:style>
  <w:style w:type="paragraph" w:styleId="Subtitle">
    <w:name w:val="Subtitle"/>
    <w:basedOn w:val="Normal"/>
    <w:next w:val="Normal"/>
    <w:link w:val="SubtitleChar"/>
    <w:qFormat/>
    <w:rsid w:val="006666B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6666B1"/>
    <w:rPr>
      <w:rFonts w:ascii="Cambria" w:eastAsia="Times New Roman" w:hAnsi="Cambria" w:cs="Times New Roman"/>
      <w:i/>
      <w:iCs/>
      <w:color w:val="4F81BD"/>
      <w:spacing w:val="15"/>
      <w:sz w:val="24"/>
      <w:szCs w:val="24"/>
      <w:lang w:eastAsia="ar-SA"/>
    </w:rPr>
  </w:style>
  <w:style w:type="character" w:styleId="Strong">
    <w:name w:val="Strong"/>
    <w:basedOn w:val="DefaultParagraphFont"/>
    <w:qFormat/>
    <w:rsid w:val="006666B1"/>
    <w:rPr>
      <w:b/>
      <w:bCs/>
    </w:rPr>
  </w:style>
  <w:style w:type="character" w:styleId="Emphasis">
    <w:name w:val="Emphasis"/>
    <w:basedOn w:val="DefaultParagraphFont"/>
    <w:qFormat/>
    <w:rsid w:val="006666B1"/>
    <w:rPr>
      <w:i/>
      <w:iCs/>
    </w:rPr>
  </w:style>
  <w:style w:type="paragraph" w:styleId="ListParagraph">
    <w:name w:val="List Paragraph"/>
    <w:basedOn w:val="Normal"/>
    <w:uiPriority w:val="34"/>
    <w:qFormat/>
    <w:rsid w:val="00EB2545"/>
    <w:pPr>
      <w:suppressAutoHyphens w:val="0"/>
      <w:ind w:left="720"/>
    </w:pPr>
    <w:rPr>
      <w:rFonts w:eastAsia="SimSun"/>
      <w:sz w:val="24"/>
      <w:szCs w:val="24"/>
      <w:lang w:eastAsia="en-US"/>
    </w:rPr>
  </w:style>
  <w:style w:type="paragraph" w:styleId="TOCHeading">
    <w:name w:val="TOC Heading"/>
    <w:basedOn w:val="Heading1"/>
    <w:next w:val="Normal"/>
    <w:uiPriority w:val="39"/>
    <w:qFormat/>
    <w:rsid w:val="006666B1"/>
    <w:pPr>
      <w:keepLines/>
      <w:numPr>
        <w:numId w:val="0"/>
      </w:numPr>
      <w:spacing w:before="480"/>
      <w:jc w:val="left"/>
      <w:outlineLvl w:val="9"/>
    </w:pPr>
    <w:rPr>
      <w:rFonts w:ascii="Cambria" w:hAnsi="Cambria" w:cs="Times New Roman"/>
      <w:bCs/>
      <w:color w:val="365F91"/>
      <w:sz w:val="28"/>
      <w:szCs w:val="28"/>
      <w:lang w:val="en-US"/>
    </w:rPr>
  </w:style>
  <w:style w:type="paragraph" w:customStyle="1" w:styleId="AN">
    <w:name w:val="AN"/>
    <w:basedOn w:val="Normal"/>
    <w:qFormat/>
    <w:rsid w:val="00EB2545"/>
    <w:pPr>
      <w:ind w:firstLine="709"/>
      <w:jc w:val="both"/>
    </w:pPr>
    <w:rPr>
      <w:rFonts w:eastAsia="Symbol" w:cs="Arial"/>
      <w:sz w:val="24"/>
      <w:szCs w:val="24"/>
      <w:lang w:val="sr-Latn-CS"/>
    </w:rPr>
  </w:style>
  <w:style w:type="paragraph" w:customStyle="1" w:styleId="AS">
    <w:name w:val="AS"/>
    <w:basedOn w:val="Normal"/>
    <w:qFormat/>
    <w:rsid w:val="00EB2545"/>
    <w:pPr>
      <w:numPr>
        <w:numId w:val="16"/>
      </w:numPr>
      <w:tabs>
        <w:tab w:val="left" w:pos="425"/>
      </w:tabs>
      <w:jc w:val="center"/>
    </w:pPr>
    <w:rPr>
      <w:rFonts w:eastAsia="Symbol" w:cs="Arial"/>
      <w:i/>
      <w:sz w:val="24"/>
      <w:szCs w:val="24"/>
      <w:lang w:val="sr-Latn-CS"/>
    </w:rPr>
  </w:style>
  <w:style w:type="paragraph" w:customStyle="1" w:styleId="A1">
    <w:name w:val="A1"/>
    <w:basedOn w:val="Heading1"/>
    <w:autoRedefine/>
    <w:qFormat/>
    <w:rsid w:val="00EB2545"/>
    <w:pPr>
      <w:numPr>
        <w:numId w:val="0"/>
      </w:numPr>
      <w:overflowPunct w:val="0"/>
      <w:autoSpaceDE w:val="0"/>
      <w:jc w:val="left"/>
      <w:textAlignment w:val="baseline"/>
    </w:pPr>
    <w:rPr>
      <w:rFonts w:eastAsia="Arial"/>
      <w:b w:val="0"/>
      <w:bCs/>
      <w:caps/>
      <w:sz w:val="28"/>
      <w:szCs w:val="36"/>
      <w:lang w:val="en-US"/>
    </w:rPr>
  </w:style>
  <w:style w:type="paragraph" w:styleId="DocumentMap">
    <w:name w:val="Document Map"/>
    <w:basedOn w:val="Normal"/>
    <w:link w:val="DocumentMapChar"/>
    <w:uiPriority w:val="99"/>
    <w:semiHidden/>
    <w:unhideWhenUsed/>
    <w:rsid w:val="00440389"/>
    <w:rPr>
      <w:rFonts w:ascii="Tahoma" w:hAnsi="Tahoma" w:cs="Tahoma"/>
      <w:sz w:val="16"/>
      <w:szCs w:val="16"/>
    </w:rPr>
  </w:style>
  <w:style w:type="character" w:customStyle="1" w:styleId="DocumentMapChar">
    <w:name w:val="Document Map Char"/>
    <w:basedOn w:val="DefaultParagraphFont"/>
    <w:link w:val="DocumentMap"/>
    <w:uiPriority w:val="99"/>
    <w:semiHidden/>
    <w:rsid w:val="00440389"/>
    <w:rPr>
      <w:rFonts w:ascii="Tahoma" w:hAnsi="Tahoma" w:cs="Tahoma"/>
      <w:sz w:val="16"/>
      <w:szCs w:val="16"/>
      <w:lang w:eastAsia="ar-SA"/>
    </w:rPr>
  </w:style>
  <w:style w:type="paragraph" w:styleId="Revision">
    <w:name w:val="Revision"/>
    <w:hidden/>
    <w:uiPriority w:val="99"/>
    <w:semiHidden/>
    <w:rsid w:val="00440389"/>
    <w:rPr>
      <w:lang w:eastAsia="ar-SA"/>
    </w:rPr>
  </w:style>
  <w:style w:type="paragraph" w:styleId="BalloonText">
    <w:name w:val="Balloon Text"/>
    <w:basedOn w:val="Normal"/>
    <w:link w:val="BalloonTextChar"/>
    <w:uiPriority w:val="99"/>
    <w:semiHidden/>
    <w:unhideWhenUsed/>
    <w:rsid w:val="00440389"/>
    <w:rPr>
      <w:rFonts w:ascii="Tahoma" w:hAnsi="Tahoma" w:cs="Tahoma"/>
      <w:sz w:val="16"/>
      <w:szCs w:val="16"/>
    </w:rPr>
  </w:style>
  <w:style w:type="character" w:customStyle="1" w:styleId="BalloonTextChar">
    <w:name w:val="Balloon Text Char"/>
    <w:basedOn w:val="DefaultParagraphFont"/>
    <w:link w:val="BalloonText"/>
    <w:uiPriority w:val="99"/>
    <w:semiHidden/>
    <w:rsid w:val="00440389"/>
    <w:rPr>
      <w:rFonts w:ascii="Tahoma" w:hAnsi="Tahoma" w:cs="Tahoma"/>
      <w:sz w:val="16"/>
      <w:szCs w:val="16"/>
      <w:lang w:eastAsia="ar-SA"/>
    </w:rPr>
  </w:style>
  <w:style w:type="table" w:styleId="TableGrid">
    <w:name w:val="Table Grid"/>
    <w:basedOn w:val="TableNormal"/>
    <w:uiPriority w:val="59"/>
    <w:rsid w:val="00BC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37C3"/>
    <w:rPr>
      <w:color w:val="808080"/>
    </w:rPr>
  </w:style>
  <w:style w:type="paragraph" w:customStyle="1" w:styleId="IEEEReferenceItem">
    <w:name w:val="IEEE Reference Item"/>
    <w:basedOn w:val="Normal"/>
    <w:rsid w:val="006F17AE"/>
    <w:pPr>
      <w:numPr>
        <w:numId w:val="34"/>
      </w:numPr>
      <w:suppressAutoHyphens w:val="0"/>
      <w:adjustRightInd w:val="0"/>
      <w:snapToGrid w:val="0"/>
      <w:jc w:val="both"/>
    </w:pPr>
    <w:rPr>
      <w:rFonts w:eastAsia="SimSun"/>
      <w:sz w:val="16"/>
      <w:szCs w:val="24"/>
      <w:lang w:eastAsia="zh-CN"/>
    </w:rPr>
  </w:style>
  <w:style w:type="paragraph" w:customStyle="1" w:styleId="IEEEParagraph">
    <w:name w:val="IEEE Paragraph"/>
    <w:basedOn w:val="Normal"/>
    <w:link w:val="IEEEParagraphChar"/>
    <w:rsid w:val="00491FE0"/>
    <w:pPr>
      <w:suppressAutoHyphens w:val="0"/>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491FE0"/>
    <w:rPr>
      <w:rFonts w:eastAsia="SimSun"/>
      <w:szCs w:val="24"/>
      <w:lang w:val="en-AU" w:eastAsia="zh-CN"/>
    </w:rPr>
  </w:style>
  <w:style w:type="paragraph" w:customStyle="1" w:styleId="IEEETableCaption">
    <w:name w:val="IEEE Table Caption"/>
    <w:basedOn w:val="Normal"/>
    <w:next w:val="IEEEParagraph"/>
    <w:rsid w:val="004C0725"/>
    <w:pPr>
      <w:suppressAutoHyphens w:val="0"/>
      <w:spacing w:before="120" w:after="120"/>
      <w:jc w:val="center"/>
    </w:pPr>
    <w:rPr>
      <w:rFonts w:eastAsia="SimSun"/>
      <w:smallCaps/>
      <w:sz w:val="16"/>
      <w:szCs w:val="24"/>
      <w:lang w:val="en-A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64781-3F2A-42F8-B605-B3129B50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9</cp:revision>
  <dcterms:created xsi:type="dcterms:W3CDTF">2014-04-19T08:29:00Z</dcterms:created>
  <dcterms:modified xsi:type="dcterms:W3CDTF">2014-04-22T09:47:00Z</dcterms:modified>
</cp:coreProperties>
</file>